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0E8CD5A8"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CF4A2E">
              <w:rPr>
                <w:b/>
                <w:sz w:val="22"/>
                <w:szCs w:val="24"/>
              </w:rPr>
              <w:t>5e</w:t>
            </w:r>
            <w:r w:rsidRPr="002C136E">
              <w:rPr>
                <w:b/>
                <w:sz w:val="22"/>
                <w:szCs w:val="24"/>
              </w:rPr>
              <w:tab/>
            </w:r>
          </w:p>
          <w:p w14:paraId="1EC84673" w14:textId="67D46B73" w:rsidR="006F40BC" w:rsidRPr="002C136E" w:rsidRDefault="005F6F46" w:rsidP="00A30FE8">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30FE8">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CF4A2E">
              <w:rPr>
                <w:rFonts w:ascii="Times New Roman" w:hAnsi="Times New Roman"/>
                <w:i w:val="0"/>
                <w:noProof w:val="0"/>
                <w:sz w:val="22"/>
                <w:szCs w:val="24"/>
              </w:rPr>
              <w:t>19</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A30FE8">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9B4FA7">
              <w:rPr>
                <w:rFonts w:ascii="Times New Roman" w:hAnsi="Times New Roman"/>
                <w:i w:val="0"/>
                <w:noProof w:val="0"/>
                <w:sz w:val="22"/>
                <w:szCs w:val="24"/>
              </w:rPr>
              <w:t>27</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5738A7A3" w:rsidR="006F40BC" w:rsidRPr="002C136E" w:rsidRDefault="00CF4A2E" w:rsidP="00A30FE8">
            <w:pPr>
              <w:tabs>
                <w:tab w:val="right" w:pos="10000"/>
              </w:tabs>
              <w:spacing w:after="0"/>
              <w:jc w:val="right"/>
              <w:rPr>
                <w:bCs/>
                <w:sz w:val="22"/>
                <w:szCs w:val="24"/>
              </w:rPr>
            </w:pPr>
            <w:r>
              <w:rPr>
                <w:b/>
                <w:sz w:val="22"/>
                <w:szCs w:val="24"/>
              </w:rPr>
              <w:t>R1</w:t>
            </w:r>
            <w:r w:rsidRPr="00021F00">
              <w:rPr>
                <w:rFonts w:ascii="Calibri" w:eastAsia="宋体" w:hAnsi="Calibri" w:cs="Calibri"/>
                <w:color w:val="000000"/>
                <w:sz w:val="22"/>
                <w:szCs w:val="22"/>
                <w:lang w:val="en-US" w:eastAsia="en-US"/>
              </w:rPr>
              <w:t xml:space="preserve"> </w:t>
            </w:r>
            <w:r w:rsidRPr="00021F00">
              <w:rPr>
                <w:b/>
                <w:sz w:val="22"/>
                <w:szCs w:val="24"/>
                <w:lang w:val="en-US"/>
              </w:rPr>
              <w:t>-2105384</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bookmarkStart w:id="1" w:name="_GoBack"/>
      <w:bookmarkEnd w:id="1"/>
    </w:p>
    <w:p w14:paraId="2AF82EAF" w14:textId="07DB2A12"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2FA77CEB" w14:textId="5B1FCA32"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(R1-104</w:t>
      </w:r>
      <w:r w:rsidR="00A30FE8">
        <w:rPr>
          <w:lang w:eastAsia="zh-CN"/>
        </w:rPr>
        <w:t xml:space="preserve">b-e), the implementation procedure of </w:t>
      </w:r>
      <w:r w:rsidR="000C21E8">
        <w:rPr>
          <w:lang w:eastAsia="zh-CN"/>
        </w:rPr>
        <w:t>TBoMS was debated</w:t>
      </w:r>
      <w:r>
        <w:rPr>
          <w:lang w:eastAsia="zh-CN"/>
        </w:rPr>
        <w:t xml:space="preserve"> and </w:t>
      </w:r>
      <w:r w:rsidR="00A30FE8">
        <w:rPr>
          <w:lang w:eastAsia="zh-CN"/>
        </w:rPr>
        <w:t>the following agreement</w:t>
      </w:r>
      <w:r w:rsidR="00800FE3">
        <w:rPr>
          <w:lang w:eastAsia="zh-CN"/>
        </w:rPr>
        <w:t>s</w:t>
      </w:r>
      <w:r w:rsidR="00A30FE8">
        <w:rPr>
          <w:lang w:eastAsia="zh-CN"/>
        </w:rPr>
        <w:t xml:space="preserve"> was made</w:t>
      </w:r>
      <w:r w:rsidR="00261B06">
        <w:rPr>
          <w:lang w:eastAsia="zh-CN"/>
        </w:rPr>
        <w:t xml:space="preserve"> [1]</w:t>
      </w:r>
      <w:r>
        <w:rPr>
          <w:lang w:eastAsia="zh-CN"/>
        </w:rPr>
        <w:t>:</w:t>
      </w:r>
    </w:p>
    <w:p w14:paraId="1DFF97B0" w14:textId="77777777" w:rsidR="00741749" w:rsidRPr="003D04A8" w:rsidRDefault="00741749" w:rsidP="00741749">
      <w:pPr>
        <w:rPr>
          <w:highlight w:val="green"/>
          <w:lang w:eastAsia="x-none"/>
        </w:rPr>
      </w:pPr>
      <w:bookmarkStart w:id="2" w:name="_Hlk69477917"/>
      <w:r w:rsidRPr="003D04A8">
        <w:rPr>
          <w:highlight w:val="green"/>
          <w:lang w:eastAsia="x-none"/>
        </w:rPr>
        <w:t>Agreement:</w:t>
      </w:r>
    </w:p>
    <w:bookmarkEnd w:id="2"/>
    <w:p w14:paraId="716AFC7F" w14:textId="77777777" w:rsidR="00741749" w:rsidRPr="009E6CCD" w:rsidRDefault="00741749" w:rsidP="00741749">
      <w:r w:rsidRPr="009E6CCD">
        <w:rPr>
          <w:rFonts w:hint="eastAsia"/>
        </w:rPr>
        <w:t>Non-consecutive physical slots for UL transmission can be used to transmit TBoMS at least for unpaired spectrum.</w:t>
      </w:r>
    </w:p>
    <w:p w14:paraId="306591DE" w14:textId="77777777" w:rsidR="00741749" w:rsidRPr="009E6CCD" w:rsidRDefault="00741749" w:rsidP="00741749">
      <w:pPr>
        <w:numPr>
          <w:ilvl w:val="0"/>
          <w:numId w:val="36"/>
        </w:numPr>
        <w:overflowPunct/>
        <w:autoSpaceDE/>
        <w:autoSpaceDN/>
        <w:adjustRightInd/>
        <w:spacing w:after="0"/>
        <w:textAlignment w:val="auto"/>
      </w:pPr>
      <w:r w:rsidRPr="009E6CCD">
        <w:rPr>
          <w:rFonts w:hint="eastAsia"/>
        </w:rPr>
        <w:t>How TBoMS is transmitted over non-consecutive physical slots for UL transmission for unpaired spectrum is to be discussed further. </w:t>
      </w:r>
    </w:p>
    <w:p w14:paraId="755333CC" w14:textId="668E1C51" w:rsidR="00B517CB" w:rsidRPr="00741749" w:rsidRDefault="00741749" w:rsidP="00741749">
      <w:pPr>
        <w:pStyle w:val="ListParagraph"/>
        <w:numPr>
          <w:ilvl w:val="1"/>
          <w:numId w:val="29"/>
        </w:numPr>
        <w:overflowPunct/>
        <w:autoSpaceDE/>
        <w:autoSpaceDN/>
        <w:adjustRightInd/>
        <w:spacing w:after="0" w:line="252" w:lineRule="auto"/>
        <w:jc w:val="both"/>
        <w:textAlignment w:val="auto"/>
        <w:rPr>
          <w:color w:val="000000" w:themeColor="text1"/>
        </w:rPr>
      </w:pPr>
      <w:r w:rsidRPr="009E6CCD">
        <w:rPr>
          <w:rFonts w:hint="eastAsia"/>
        </w:rPr>
        <w:t>Whether and how non-consecutive physical slots for UL transmission can be used to transmit TBoMS for paired spectrum and SUL band as well, is to be discussed further</w:t>
      </w:r>
      <w:r>
        <w:t xml:space="preserve">. </w:t>
      </w:r>
    </w:p>
    <w:p w14:paraId="74E13F37" w14:textId="77777777" w:rsidR="00741749" w:rsidRDefault="00741749" w:rsidP="00741749">
      <w:pPr>
        <w:overflowPunct/>
        <w:autoSpaceDE/>
        <w:autoSpaceDN/>
        <w:adjustRightInd/>
        <w:spacing w:after="0" w:line="252" w:lineRule="auto"/>
        <w:jc w:val="both"/>
        <w:textAlignment w:val="auto"/>
        <w:rPr>
          <w:color w:val="000000" w:themeColor="text1"/>
        </w:rPr>
      </w:pPr>
    </w:p>
    <w:p w14:paraId="7C83974B" w14:textId="77777777" w:rsidR="00AF3291" w:rsidRPr="00F11930" w:rsidRDefault="00AF3291" w:rsidP="00AF3291">
      <w:pPr>
        <w:jc w:val="both"/>
        <w:rPr>
          <w:rFonts w:ascii="Calibri" w:hAnsi="Calibri"/>
          <w:highlight w:val="darkYellow"/>
          <w:lang w:eastAsia="zh-CN"/>
        </w:rPr>
      </w:pPr>
      <w:r w:rsidRPr="00F11930">
        <w:rPr>
          <w:highlight w:val="darkYellow"/>
        </w:rPr>
        <w:t>Working Assumption</w:t>
      </w:r>
    </w:p>
    <w:p w14:paraId="5F501F0A" w14:textId="77777777" w:rsidR="00AF3291" w:rsidRPr="00F11930" w:rsidRDefault="00AF3291" w:rsidP="00AF3291">
      <w:pPr>
        <w:spacing w:line="252" w:lineRule="auto"/>
        <w:jc w:val="both"/>
        <w:rPr>
          <w:color w:val="000000"/>
          <w:lang w:eastAsia="zh-CN"/>
        </w:rPr>
      </w:pPr>
      <w:r w:rsidRPr="00F11930">
        <w:rPr>
          <w:color w:val="000000"/>
          <w:lang w:eastAsia="zh-CN"/>
        </w:rPr>
        <w:t xml:space="preserve">The concept of transmission occasion for TBoMS (TOT) is utilized for the purpose of discussion, where a TOT is constituted of time domain resources which </w:t>
      </w:r>
      <w:r w:rsidRPr="00F11930">
        <w:rPr>
          <w:lang w:eastAsia="zh-CN"/>
        </w:rPr>
        <w:t>may or may not</w:t>
      </w:r>
      <w:r w:rsidRPr="00F11930">
        <w:rPr>
          <w:color w:val="000000"/>
          <w:lang w:eastAsia="zh-CN"/>
        </w:rPr>
        <w:t xml:space="preserve"> span multiple slots</w:t>
      </w:r>
    </w:p>
    <w:p w14:paraId="1FC3BA25" w14:textId="77777777" w:rsidR="00AF3291" w:rsidRPr="00F11930" w:rsidRDefault="00AF3291" w:rsidP="00AF3291">
      <w:pPr>
        <w:pStyle w:val="ListParagraph"/>
        <w:numPr>
          <w:ilvl w:val="0"/>
          <w:numId w:val="37"/>
        </w:numPr>
        <w:overflowPunct/>
        <w:autoSpaceDE/>
        <w:autoSpaceDN/>
        <w:adjustRightInd/>
        <w:spacing w:line="252" w:lineRule="auto"/>
        <w:textAlignment w:val="auto"/>
        <w:rPr>
          <w:rFonts w:ascii="Calibri" w:hAnsi="Calibri" w:cs="Calibri"/>
          <w:color w:val="000000"/>
        </w:rPr>
      </w:pPr>
      <w:r w:rsidRPr="00F11930">
        <w:rPr>
          <w:rFonts w:ascii="Calibri" w:hAnsi="Calibri" w:cs="Calibri"/>
          <w:color w:val="000000"/>
        </w:rPr>
        <w:t>FFS: details, whether multiple slots which constitute a TOT are consecutive or non-consecutive physical slots for UL transmissions</w:t>
      </w:r>
    </w:p>
    <w:p w14:paraId="32C8EC6B" w14:textId="77777777" w:rsidR="00AF3291" w:rsidRPr="00F11930" w:rsidRDefault="00AF3291" w:rsidP="00AF3291">
      <w:pPr>
        <w:pStyle w:val="ListParagraph"/>
        <w:numPr>
          <w:ilvl w:val="0"/>
          <w:numId w:val="37"/>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rPr>
        <w:t xml:space="preserve">FFS: other details. </w:t>
      </w:r>
    </w:p>
    <w:p w14:paraId="61228994" w14:textId="77777777" w:rsidR="00AF3291" w:rsidRPr="00F11930" w:rsidRDefault="00AF3291" w:rsidP="00AF3291">
      <w:pPr>
        <w:pStyle w:val="ListParagraph"/>
        <w:numPr>
          <w:ilvl w:val="0"/>
          <w:numId w:val="38"/>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lang w:eastAsia="zh-CN"/>
        </w:rPr>
        <w:t>FFS: whether such concept will be specified or not.</w:t>
      </w:r>
    </w:p>
    <w:p w14:paraId="2768E29B" w14:textId="77777777" w:rsidR="00AF3291" w:rsidRDefault="00AF3291" w:rsidP="00AF3291"/>
    <w:p w14:paraId="7DCA2BF9" w14:textId="77777777" w:rsidR="00AF3291" w:rsidRPr="002558B0" w:rsidRDefault="00AF3291" w:rsidP="00AF3291">
      <w:pPr>
        <w:jc w:val="both"/>
      </w:pPr>
      <w:r w:rsidRPr="002558B0">
        <w:rPr>
          <w:highlight w:val="green"/>
        </w:rPr>
        <w:t>Agreements</w:t>
      </w:r>
      <w:r w:rsidRPr="002558B0">
        <w:rPr>
          <w:b/>
          <w:bCs/>
        </w:rPr>
        <w:t>:</w:t>
      </w:r>
    </w:p>
    <w:p w14:paraId="5005DD3A" w14:textId="77777777" w:rsidR="00AF3291" w:rsidRPr="002558B0" w:rsidRDefault="00AF3291" w:rsidP="00AF3291">
      <w:pPr>
        <w:jc w:val="both"/>
      </w:pPr>
      <w:r w:rsidRPr="002558B0">
        <w:t>For the definition of a single TBoMS, down select among the following options:</w:t>
      </w:r>
    </w:p>
    <w:p w14:paraId="0C04D7F5"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1</w:t>
      </w:r>
      <w:r w:rsidRPr="002558B0">
        <w:rPr>
          <w:rFonts w:eastAsia="Times New Roman"/>
        </w:rPr>
        <w:t xml:space="preserve">: Only one TOT is determined for a TBoMS. The TB is transmitted on the TOT using a single RV. </w:t>
      </w:r>
    </w:p>
    <w:p w14:paraId="30DD9C56"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FFS: whether and how the single RV is rate matched across the TOT, e.g., continuous rate-matching across the TOT, rate matched for each slot and so on.</w:t>
      </w:r>
    </w:p>
    <w:p w14:paraId="40C349E9"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2</w:t>
      </w:r>
      <w:r w:rsidRPr="002558B0">
        <w:rPr>
          <w:rFonts w:eastAsia="Times New Roman"/>
        </w:rPr>
        <w:t>: Only one TOT is determined for a TBoMS. The TB is transmitted on the TOT using different RVs.</w:t>
      </w:r>
    </w:p>
    <w:p w14:paraId="1EF7521A"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how RV index is refreshed within the TOT, e.g. after each slot boundary, at every jump between two non-contiguous resources, if any, and so on. </w:t>
      </w:r>
    </w:p>
    <w:p w14:paraId="11157CD9"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3</w:t>
      </w:r>
      <w:r w:rsidRPr="002558B0">
        <w:rPr>
          <w:rFonts w:eastAsia="Times New Roman"/>
        </w:rPr>
        <w:t xml:space="preserve">: Multiple TOTs are determined for a TBoMS. The TB is transmitted on the multiple TOTs using a single RV. </w:t>
      </w:r>
    </w:p>
    <w:p w14:paraId="00635CAA"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7EE69256"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b/>
          <w:bCs/>
        </w:rPr>
        <w:t>Option 4</w:t>
      </w:r>
      <w:r w:rsidRPr="002558B0">
        <w:rPr>
          <w:rFonts w:eastAsia="Times New Roman"/>
        </w:rPr>
        <w:t xml:space="preserve">: Multiple TOTs are determined for a TBoMS. The TB is transmitted on the multiple TOTs using different RVs. </w:t>
      </w:r>
    </w:p>
    <w:p w14:paraId="6E88F05E" w14:textId="77777777" w:rsidR="00AF3291" w:rsidRPr="002558B0" w:rsidRDefault="00AF3291" w:rsidP="00AF3291">
      <w:pPr>
        <w:numPr>
          <w:ilvl w:val="1"/>
          <w:numId w:val="39"/>
        </w:numPr>
        <w:overflowPunct/>
        <w:autoSpaceDE/>
        <w:autoSpaceDN/>
        <w:adjustRightInd/>
        <w:spacing w:line="252" w:lineRule="auto"/>
        <w:jc w:val="both"/>
        <w:textAlignment w:val="auto"/>
        <w:rPr>
          <w:rFonts w:eastAsia="Times New Roman"/>
        </w:rPr>
      </w:pPr>
      <w:r w:rsidRPr="002558B0">
        <w:rPr>
          <w:rFonts w:eastAsia="Times New Roman"/>
        </w:rPr>
        <w:t xml:space="preserve">FFS: whether and how RV index is refreshed within one TOT, e.g. after each slot boundary, at every jump between two non-contiguous resources, if any, and so on. </w:t>
      </w:r>
    </w:p>
    <w:p w14:paraId="167A296E"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rPr>
        <w:lastRenderedPageBreak/>
        <w:t xml:space="preserve">FFS: the exact TBS determination procedure. </w:t>
      </w:r>
    </w:p>
    <w:p w14:paraId="67942E5C" w14:textId="77777777" w:rsidR="00AF3291" w:rsidRPr="002558B0" w:rsidRDefault="00AF3291" w:rsidP="00AF3291">
      <w:pPr>
        <w:numPr>
          <w:ilvl w:val="0"/>
          <w:numId w:val="39"/>
        </w:numPr>
        <w:overflowPunct/>
        <w:autoSpaceDE/>
        <w:autoSpaceDN/>
        <w:adjustRightInd/>
        <w:spacing w:line="252" w:lineRule="auto"/>
        <w:jc w:val="both"/>
        <w:textAlignment w:val="auto"/>
        <w:rPr>
          <w:rFonts w:eastAsia="Times New Roman"/>
        </w:rPr>
      </w:pPr>
      <w:r w:rsidRPr="002558B0">
        <w:rPr>
          <w:rFonts w:eastAsia="Times New Roman"/>
        </w:rPr>
        <w:t>FFS: whether a single TBoMS can be repeated or not.</w:t>
      </w:r>
    </w:p>
    <w:p w14:paraId="1EDFC776" w14:textId="05B7376F" w:rsidR="00741749" w:rsidRDefault="00AF3291" w:rsidP="00AF3291">
      <w:pPr>
        <w:numPr>
          <w:ilvl w:val="0"/>
          <w:numId w:val="39"/>
        </w:numPr>
        <w:overflowPunct/>
        <w:autoSpaceDE/>
        <w:autoSpaceDN/>
        <w:adjustRightInd/>
        <w:spacing w:line="252" w:lineRule="auto"/>
        <w:jc w:val="both"/>
        <w:textAlignment w:val="auto"/>
        <w:rPr>
          <w:rFonts w:eastAsia="Times New Roman"/>
        </w:rPr>
      </w:pPr>
      <w:r w:rsidRPr="002160F5">
        <w:rPr>
          <w:rFonts w:eastAsia="Times New Roman"/>
        </w:rPr>
        <w:t xml:space="preserve">FFS: other implications, e.g., power control, collision handling and so on. </w:t>
      </w:r>
    </w:p>
    <w:p w14:paraId="60D65212" w14:textId="77777777" w:rsidR="00AF3291" w:rsidRDefault="00AF3291" w:rsidP="00AF3291">
      <w:pPr>
        <w:overflowPunct/>
        <w:autoSpaceDE/>
        <w:autoSpaceDN/>
        <w:adjustRightInd/>
        <w:spacing w:line="252" w:lineRule="auto"/>
        <w:jc w:val="both"/>
        <w:textAlignment w:val="auto"/>
        <w:rPr>
          <w:rFonts w:eastAsia="Times New Roman"/>
        </w:rPr>
      </w:pPr>
    </w:p>
    <w:p w14:paraId="191777F3" w14:textId="45493EE4" w:rsidR="00AF3291" w:rsidRDefault="00AF3291" w:rsidP="00AF3291">
      <w:pPr>
        <w:overflowPunct/>
        <w:autoSpaceDE/>
        <w:autoSpaceDN/>
        <w:adjustRightInd/>
        <w:spacing w:line="252" w:lineRule="auto"/>
        <w:jc w:val="both"/>
        <w:textAlignment w:val="auto"/>
        <w:rPr>
          <w:rFonts w:eastAsia="Times New Roman"/>
        </w:rPr>
      </w:pPr>
      <w:r>
        <w:rPr>
          <w:rFonts w:eastAsia="Times New Roman"/>
        </w:rPr>
        <w:t>In this meeting we try to put in perspective the TBoMS implementation and try to respond to the pending aspects in the last meeting.</w:t>
      </w:r>
    </w:p>
    <w:p w14:paraId="2E3BC033" w14:textId="31CAB05C" w:rsidR="00AF3291" w:rsidRDefault="00AF3291" w:rsidP="00AF3291">
      <w:pPr>
        <w:overflowPunct/>
        <w:autoSpaceDE/>
        <w:autoSpaceDN/>
        <w:adjustRightInd/>
        <w:spacing w:line="252" w:lineRule="auto"/>
        <w:jc w:val="both"/>
        <w:textAlignment w:val="auto"/>
        <w:rPr>
          <w:rFonts w:eastAsia="Times New Roman"/>
        </w:rPr>
      </w:pPr>
    </w:p>
    <w:p w14:paraId="25FE8CEB" w14:textId="21327549" w:rsidR="00AF3291" w:rsidRPr="00014179" w:rsidRDefault="00AF3291" w:rsidP="00014179">
      <w:pPr>
        <w:pStyle w:val="Heading1"/>
        <w:rPr>
          <w:rFonts w:ascii="Times New Roman" w:hAnsi="Times New Roman"/>
        </w:rPr>
      </w:pPr>
      <w:r w:rsidRPr="00014179">
        <w:rPr>
          <w:rFonts w:ascii="Times New Roman" w:hAnsi="Times New Roman"/>
        </w:rPr>
        <w:t>TB</w:t>
      </w:r>
      <w:r w:rsidR="005A34A5" w:rsidRPr="00014179">
        <w:rPr>
          <w:rFonts w:ascii="Times New Roman" w:hAnsi="Times New Roman"/>
        </w:rPr>
        <w:t xml:space="preserve"> processing </w:t>
      </w:r>
      <w:r w:rsidRPr="00014179">
        <w:rPr>
          <w:rFonts w:ascii="Times New Roman" w:hAnsi="Times New Roman"/>
        </w:rPr>
        <w:t>o</w:t>
      </w:r>
      <w:r w:rsidR="005A34A5" w:rsidRPr="00014179">
        <w:rPr>
          <w:rFonts w:ascii="Times New Roman" w:hAnsi="Times New Roman"/>
        </w:rPr>
        <w:t>ver multi-slot (TBoMS)</w:t>
      </w:r>
    </w:p>
    <w:p w14:paraId="550B0DCB" w14:textId="77777777" w:rsidR="00C859E0" w:rsidRDefault="00C859E0" w:rsidP="00C859E0">
      <w:pPr>
        <w:overflowPunct/>
        <w:autoSpaceDE/>
        <w:autoSpaceDN/>
        <w:adjustRightInd/>
        <w:spacing w:line="252" w:lineRule="auto"/>
        <w:jc w:val="both"/>
        <w:textAlignment w:val="auto"/>
        <w:rPr>
          <w:lang w:val="en-GB"/>
        </w:rPr>
      </w:pPr>
      <w:r>
        <w:rPr>
          <w:rFonts w:eastAsia="Times New Roman"/>
        </w:rPr>
        <w:t xml:space="preserve">TBoMS is mainly motivated to enhance coverage by spreading the TB on multiple slots and reducing the higher layer load. Sustained scheduling of single TB belonging to cell edge UEs over multiple slots will ensure the coverage with desirable data rates.  The benefits of using TBoMS was demonstrated in many of the contributions. </w:t>
      </w:r>
      <w:r>
        <w:rPr>
          <w:lang w:val="en-GB"/>
        </w:rPr>
        <w:t xml:space="preserve">In this document we discuss about the pending issues on the TBoMS. </w:t>
      </w:r>
    </w:p>
    <w:p w14:paraId="241CF54C" w14:textId="77777777" w:rsidR="00C859E0" w:rsidRPr="00F456D9" w:rsidRDefault="00C859E0" w:rsidP="00C859E0">
      <w:pPr>
        <w:pStyle w:val="Heading2"/>
        <w:rPr>
          <w:rFonts w:ascii="Times New Roman" w:hAnsi="Times New Roman"/>
        </w:rPr>
      </w:pPr>
      <w:r w:rsidRPr="00F456D9">
        <w:rPr>
          <w:rFonts w:ascii="Times New Roman" w:hAnsi="Times New Roman"/>
        </w:rPr>
        <w:t>Time domain Resource Allocation of TBoMS</w:t>
      </w:r>
    </w:p>
    <w:p w14:paraId="05FB2234" w14:textId="77777777" w:rsidR="00C859E0" w:rsidRDefault="00C859E0" w:rsidP="00C859E0">
      <w:pPr>
        <w:jc w:val="both"/>
        <w:rPr>
          <w:lang w:val="en-GB"/>
        </w:rPr>
      </w:pPr>
      <w:r>
        <w:rPr>
          <w:lang w:val="en-GB"/>
        </w:rPr>
        <w:t>In this section, we present the approach on how the time domain resources are aggregated to schedule TBoMS. In the last meeting, the discussion was based on the following proposal</w:t>
      </w:r>
    </w:p>
    <w:p w14:paraId="0E5BE435" w14:textId="77777777" w:rsidR="00C859E0" w:rsidRPr="00365EAE" w:rsidRDefault="00C859E0" w:rsidP="00C859E0">
      <w:pPr>
        <w:jc w:val="both"/>
        <w:rPr>
          <w:lang w:val="en-GB"/>
        </w:rPr>
      </w:pPr>
      <w:r w:rsidRPr="00365EAE">
        <w:rPr>
          <w:lang w:val="en-GB"/>
        </w:rPr>
        <w:t xml:space="preserve">For time domain resource determination for TBoMS, at least PUSCH repetition type A like TDRA is supported. </w:t>
      </w:r>
    </w:p>
    <w:p w14:paraId="764E8B62" w14:textId="77777777" w:rsidR="00C859E0" w:rsidRPr="00365EAE" w:rsidRDefault="00C859E0" w:rsidP="00C859E0">
      <w:pPr>
        <w:pStyle w:val="ListParagraph"/>
        <w:numPr>
          <w:ilvl w:val="0"/>
          <w:numId w:val="36"/>
        </w:numPr>
        <w:jc w:val="both"/>
        <w:rPr>
          <w:lang w:val="en-GB"/>
        </w:rPr>
      </w:pPr>
      <w:r w:rsidRPr="00365EAE">
        <w:rPr>
          <w:lang w:val="en-GB"/>
        </w:rPr>
        <w:t>How to handle special slots for time domain resource determination of TBoMS, e.g., based on PUSCH repet</w:t>
      </w:r>
      <w:r>
        <w:rPr>
          <w:lang w:val="en-GB"/>
        </w:rPr>
        <w:t>ition type A like TDRA</w:t>
      </w:r>
      <w:r w:rsidRPr="00365EAE">
        <w:rPr>
          <w:lang w:val="en-GB"/>
        </w:rPr>
        <w:t xml:space="preserve"> or type B like TDRA, is to be discussed.</w:t>
      </w:r>
    </w:p>
    <w:p w14:paraId="3E462F67" w14:textId="77777777" w:rsidR="00C859E0" w:rsidRPr="00365EAE" w:rsidRDefault="00C859E0" w:rsidP="00C859E0">
      <w:pPr>
        <w:pStyle w:val="ListParagraph"/>
        <w:numPr>
          <w:ilvl w:val="1"/>
          <w:numId w:val="36"/>
        </w:numPr>
        <w:jc w:val="both"/>
        <w:rPr>
          <w:lang w:val="en-GB"/>
        </w:rPr>
      </w:pPr>
      <w:r w:rsidRPr="00365EAE">
        <w:rPr>
          <w:lang w:val="en-GB"/>
        </w:rPr>
        <w:t>Aspects to be discussed include at least: whether maximum configurable value for L is to be changed, overlap between TBoMS and SRS, other collisions (if any).</w:t>
      </w:r>
    </w:p>
    <w:p w14:paraId="7AD4AB73" w14:textId="2E7A9B3D" w:rsidR="00F25BF4" w:rsidRDefault="00C859E0" w:rsidP="00B67052">
      <w:pPr>
        <w:jc w:val="both"/>
        <w:rPr>
          <w:lang w:val="en-GB"/>
        </w:rPr>
      </w:pPr>
      <w:r>
        <w:rPr>
          <w:lang w:val="en-GB"/>
        </w:rPr>
        <w:t>The pending issue is that how to handle the S slots. For this, we propose to include the S slot along with the following UL resources and define Transmission Occasion (TOT). TOT is a set of UL resources used to schedule TBoMS across the slots. Thus TOT can be spread across the non-consecutive slots at</w:t>
      </w:r>
      <w:r w:rsidR="00C856C2">
        <w:rPr>
          <w:lang w:val="en-GB"/>
        </w:rPr>
        <w:t xml:space="preserve"> </w:t>
      </w:r>
      <w:r>
        <w:rPr>
          <w:lang w:val="en-GB"/>
        </w:rPr>
        <w:t>least for un-paired spectrum. The valid UL symbols within TOT is defined for TBoMS. The valid symbols are defined based on the SRS, PUCCH transmissions. The symbols that are carrying SRS and PUCCH are considered to be invalid for TBoMS transmission.</w:t>
      </w:r>
    </w:p>
    <w:p w14:paraId="3E648F41" w14:textId="77777777" w:rsidR="00C859E0" w:rsidRDefault="00C859E0" w:rsidP="00C859E0">
      <w:pPr>
        <w:jc w:val="both"/>
        <w:rPr>
          <w:lang w:val="en-GB"/>
        </w:rPr>
      </w:pPr>
      <w:r>
        <w:rPr>
          <w:lang w:val="en-GB"/>
        </w:rPr>
        <w:t>The start of the time domain allocation for TBoMS is conveyed on DCI/RRC messaging. DCI provides the offset which conveys the starting symbol within the slot for the TBoMS. RRC message convey the duration over which TOT is defined for TBoMS. The valid symbols for TBoMS in the considered slots are grouped to form a TOT as shown in the Fig 1. The indication for the start of TBoMS is as presented in the figure for the cases of DDDSUDDSUU and DDDU slot configuration in TDD.</w:t>
      </w:r>
    </w:p>
    <w:p w14:paraId="32D87E04" w14:textId="77777777" w:rsidR="00C859E0" w:rsidRDefault="00C859E0" w:rsidP="00C859E0">
      <w:pPr>
        <w:jc w:val="both"/>
        <w:rPr>
          <w:lang w:val="en-GB"/>
        </w:rPr>
      </w:pPr>
    </w:p>
    <w:p w14:paraId="36672B48" w14:textId="77777777" w:rsidR="00C859E0" w:rsidRDefault="00C859E0" w:rsidP="00C859E0">
      <w:pPr>
        <w:jc w:val="both"/>
        <w:rPr>
          <w:lang w:val="en-GB"/>
        </w:rPr>
      </w:pPr>
      <w:r w:rsidRPr="00C74ED6">
        <w:rPr>
          <w:noProof/>
          <w:lang w:eastAsia="zh-CN"/>
        </w:rPr>
        <w:drawing>
          <wp:inline distT="0" distB="0" distL="0" distR="0" wp14:anchorId="7A4333AF" wp14:editId="7F22B4EF">
            <wp:extent cx="2692045" cy="300990"/>
            <wp:effectExtent l="0" t="0" r="0" b="3810"/>
            <wp:docPr id="1" name="Picture 1" descr="U:\Status_Presentations\Captur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tatus_Presentations\Capture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98781" cy="335285"/>
                    </a:xfrm>
                    <a:prstGeom prst="rect">
                      <a:avLst/>
                    </a:prstGeom>
                    <a:noFill/>
                    <a:ln>
                      <a:noFill/>
                    </a:ln>
                  </pic:spPr>
                </pic:pic>
              </a:graphicData>
            </a:graphic>
          </wp:inline>
        </w:drawing>
      </w:r>
      <w:r>
        <w:rPr>
          <w:lang w:val="en-GB"/>
        </w:rPr>
        <w:t xml:space="preserve">    </w:t>
      </w:r>
      <w:r w:rsidRPr="00C74ED6">
        <w:rPr>
          <w:noProof/>
          <w:lang w:eastAsia="zh-CN"/>
        </w:rPr>
        <w:drawing>
          <wp:inline distT="0" distB="0" distL="0" distR="0" wp14:anchorId="71843878" wp14:editId="78775956">
            <wp:extent cx="2731167" cy="340332"/>
            <wp:effectExtent l="0" t="0" r="0" b="3175"/>
            <wp:docPr id="8" name="Picture 8" descr="U:\Status_Presentations\Captur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tatus_Presentations\Capture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9228" cy="369997"/>
                    </a:xfrm>
                    <a:prstGeom prst="rect">
                      <a:avLst/>
                    </a:prstGeom>
                    <a:noFill/>
                    <a:ln>
                      <a:noFill/>
                    </a:ln>
                  </pic:spPr>
                </pic:pic>
              </a:graphicData>
            </a:graphic>
          </wp:inline>
        </w:drawing>
      </w:r>
    </w:p>
    <w:p w14:paraId="2EF43C1A" w14:textId="77777777" w:rsidR="00C859E0" w:rsidRDefault="00C859E0" w:rsidP="00C859E0">
      <w:pPr>
        <w:jc w:val="center"/>
        <w:rPr>
          <w:lang w:val="en-GB"/>
        </w:rPr>
      </w:pPr>
      <w:r>
        <w:rPr>
          <w:lang w:val="en-GB"/>
        </w:rPr>
        <w:t>Fig 1. TDRA for TBoMS with DDDSUDDSUU and DDDSU respectively</w:t>
      </w:r>
    </w:p>
    <w:p w14:paraId="6AB28E34" w14:textId="77777777" w:rsidR="00C859E0" w:rsidRDefault="00C859E0" w:rsidP="00C859E0">
      <w:pPr>
        <w:jc w:val="both"/>
        <w:rPr>
          <w:lang w:val="en-GB"/>
        </w:rPr>
      </w:pPr>
    </w:p>
    <w:p w14:paraId="5F065C25" w14:textId="77777777" w:rsidR="00C859E0" w:rsidRDefault="00C859E0" w:rsidP="00C859E0">
      <w:pPr>
        <w:jc w:val="both"/>
        <w:rPr>
          <w:lang w:val="en-GB"/>
        </w:rPr>
      </w:pPr>
      <w:r>
        <w:rPr>
          <w:lang w:val="en-GB"/>
        </w:rPr>
        <w:t xml:space="preserve">TOT is defined over non-consecutive slots atleast for the un-paired spectrum. The valid symbols defined within the TOT are used to transmit single TBoMS. The DCI/RRC messaging information is used to refer the starting the TBoMS location of the starting U/S slot and the duration (or number of symbols) over which first slot of TOT. </w:t>
      </w:r>
    </w:p>
    <w:p w14:paraId="1209EFEE" w14:textId="77777777" w:rsidR="00C859E0" w:rsidRDefault="00C859E0" w:rsidP="00C859E0">
      <w:pPr>
        <w:jc w:val="both"/>
        <w:rPr>
          <w:b/>
          <w:i/>
          <w:lang w:val="en-GB"/>
        </w:rPr>
      </w:pPr>
      <w:r w:rsidRPr="00D26BBE">
        <w:rPr>
          <w:b/>
          <w:i/>
          <w:lang w:val="en-GB"/>
        </w:rPr>
        <w:t xml:space="preserve">Proposal 1: </w:t>
      </w:r>
      <w:r>
        <w:rPr>
          <w:b/>
          <w:i/>
          <w:lang w:val="en-GB"/>
        </w:rPr>
        <w:t>UL symbols in the s</w:t>
      </w:r>
      <w:r w:rsidRPr="00D26BBE">
        <w:rPr>
          <w:b/>
          <w:i/>
          <w:lang w:val="en-GB"/>
        </w:rPr>
        <w:t>pecial slots to be used for TBoMS</w:t>
      </w:r>
      <w:r>
        <w:rPr>
          <w:b/>
          <w:i/>
          <w:lang w:val="en-GB"/>
        </w:rPr>
        <w:t xml:space="preserve"> jointly with the following U slots and form TOT.</w:t>
      </w:r>
    </w:p>
    <w:p w14:paraId="224633F0" w14:textId="30A230C1" w:rsidR="00C859E0" w:rsidRDefault="00C859E0" w:rsidP="00C859E0">
      <w:pPr>
        <w:jc w:val="both"/>
        <w:rPr>
          <w:b/>
          <w:i/>
          <w:lang w:val="en-GB"/>
        </w:rPr>
      </w:pPr>
      <w:r w:rsidRPr="00D26BBE">
        <w:rPr>
          <w:b/>
          <w:i/>
          <w:lang w:val="en-GB"/>
        </w:rPr>
        <w:t xml:space="preserve">Proposal </w:t>
      </w:r>
      <w:r>
        <w:rPr>
          <w:b/>
          <w:i/>
          <w:lang w:val="en-GB"/>
        </w:rPr>
        <w:t>2</w:t>
      </w:r>
      <w:r w:rsidRPr="00D26BBE">
        <w:rPr>
          <w:b/>
          <w:i/>
          <w:lang w:val="en-GB"/>
        </w:rPr>
        <w:t xml:space="preserve">: </w:t>
      </w:r>
      <w:r>
        <w:rPr>
          <w:b/>
          <w:i/>
          <w:lang w:val="en-GB"/>
        </w:rPr>
        <w:t>TOT is defined to span across multiple slots. TOT can span over non-consecutive slots at</w:t>
      </w:r>
      <w:r w:rsidR="00C856C2">
        <w:rPr>
          <w:b/>
          <w:i/>
          <w:lang w:val="en-GB"/>
        </w:rPr>
        <w:t xml:space="preserve"> </w:t>
      </w:r>
      <w:r>
        <w:rPr>
          <w:b/>
          <w:i/>
          <w:lang w:val="en-GB"/>
        </w:rPr>
        <w:t>least for un-paired spectrum.</w:t>
      </w:r>
    </w:p>
    <w:p w14:paraId="26FB0398" w14:textId="73B94252" w:rsidR="00A44558" w:rsidRPr="00F456D9" w:rsidRDefault="00633300" w:rsidP="00F456D9">
      <w:pPr>
        <w:pStyle w:val="Heading2"/>
        <w:rPr>
          <w:rFonts w:ascii="Times New Roman" w:hAnsi="Times New Roman"/>
        </w:rPr>
      </w:pPr>
      <w:r w:rsidRPr="00F456D9">
        <w:rPr>
          <w:rFonts w:ascii="Times New Roman" w:hAnsi="Times New Roman"/>
        </w:rPr>
        <w:lastRenderedPageBreak/>
        <w:t>Calculation of TBS</w:t>
      </w:r>
    </w:p>
    <w:p w14:paraId="007DE48F" w14:textId="77777777" w:rsidR="00C859E0" w:rsidRDefault="00C859E0" w:rsidP="00C859E0">
      <w:pPr>
        <w:jc w:val="both"/>
        <w:rPr>
          <w:lang w:val="en-GB"/>
        </w:rPr>
      </w:pPr>
      <w:r>
        <w:rPr>
          <w:lang w:val="en-GB"/>
        </w:rPr>
        <w:t>In the last meeting, it is agreed to select one of the two approaches.</w:t>
      </w:r>
    </w:p>
    <w:p w14:paraId="78B5FD24" w14:textId="77777777" w:rsidR="00C859E0" w:rsidRPr="00B34008" w:rsidRDefault="00C859E0" w:rsidP="00C859E0">
      <w:pPr>
        <w:jc w:val="both"/>
        <w:rPr>
          <w:lang w:val="en-GB"/>
        </w:rPr>
      </w:pPr>
      <w:r w:rsidRPr="00B34008">
        <w:rPr>
          <w:lang w:val="en-GB"/>
        </w:rPr>
        <w:t>•</w:t>
      </w:r>
      <w:r w:rsidRPr="00B34008">
        <w:rPr>
          <w:lang w:val="en-GB"/>
        </w:rPr>
        <w:tab/>
        <w:t>Approach 1: Based on all REs determined across the symbols or slots (FFS whether symbols or slots are used) over which the TBoMS transmission is allocated</w:t>
      </w:r>
    </w:p>
    <w:p w14:paraId="78BD3AF2" w14:textId="77777777" w:rsidR="00C859E0" w:rsidRDefault="00C859E0" w:rsidP="00C859E0">
      <w:pPr>
        <w:jc w:val="both"/>
        <w:rPr>
          <w:lang w:val="en-GB"/>
        </w:rPr>
      </w:pPr>
      <w:r w:rsidRPr="00B34008">
        <w:rPr>
          <w:rFonts w:hint="eastAsia"/>
          <w:lang w:val="en-GB"/>
        </w:rPr>
        <w:t>•</w:t>
      </w:r>
      <w:r w:rsidRPr="00B34008">
        <w:rPr>
          <w:rFonts w:hint="eastAsia"/>
          <w:lang w:val="en-GB"/>
        </w:rPr>
        <w:tab/>
        <w:t>Approach 2: Based on the number of REs determined in the first L symbols over which the TBoMS transmission is allocated, scaled by K</w:t>
      </w:r>
      <w:r w:rsidRPr="00B34008">
        <w:rPr>
          <w:rFonts w:hint="eastAsia"/>
          <w:lang w:val="en-GB"/>
        </w:rPr>
        <w:t>≥</w:t>
      </w:r>
      <w:r>
        <w:rPr>
          <w:rFonts w:hint="eastAsia"/>
          <w:lang w:val="en-GB"/>
        </w:rPr>
        <w:t>1.</w:t>
      </w:r>
      <w:r w:rsidRPr="00B34008">
        <w:rPr>
          <w:lang w:val="en-GB"/>
        </w:rPr>
        <w:tab/>
        <w:t>FFS: the definition of K</w:t>
      </w:r>
    </w:p>
    <w:p w14:paraId="0E8B5ED0" w14:textId="77777777" w:rsidR="00C859E0" w:rsidRDefault="00C859E0" w:rsidP="00C859E0">
      <w:pPr>
        <w:jc w:val="both"/>
        <w:rPr>
          <w:lang w:val="en-GB"/>
        </w:rPr>
      </w:pPr>
      <w:r>
        <w:rPr>
          <w:rFonts w:eastAsia="等线"/>
          <w:lang w:eastAsia="zh-CN"/>
        </w:rPr>
        <w:t>TBS is determined based on the MCS, number of schedulable REs in PRB and the number of PRB in frequency domain in a slot. However, in case of TBoMS when calculating the RE number, REs in all the symbols over multi-slot need to be counted</w:t>
      </w:r>
      <w:r>
        <w:rPr>
          <w:rFonts w:eastAsia="等线" w:hint="eastAsia"/>
          <w:lang w:eastAsia="zh-CN"/>
        </w:rPr>
        <w:t xml:space="preserve"> as illustrated in approach 1</w:t>
      </w:r>
      <w:r>
        <w:rPr>
          <w:rFonts w:eastAsia="等线"/>
          <w:lang w:eastAsia="zh-CN"/>
        </w:rPr>
        <w:t xml:space="preserve">, excluding DMRS and overhead configured by higher layer. This approach of considering all the possible REs across slots will be suitable approach for Type B like TDRA. Defining K and following approach 2 will only be suitable for Type A like TDRA as it assumes same number of REs in each slot. As explained in some scenarios where we see different set of REs for each slot, approach 1 seems to be more practical. </w:t>
      </w:r>
      <w:r w:rsidRPr="007136CB">
        <w:rPr>
          <w:rFonts w:eastAsia="等线"/>
          <w:lang w:eastAsia="zh-CN"/>
        </w:rPr>
        <w:t>N</w:t>
      </w:r>
      <w:r w:rsidRPr="007136CB">
        <w:rPr>
          <w:rFonts w:eastAsia="等线"/>
          <w:vertAlign w:val="subscript"/>
          <w:lang w:eastAsia="zh-CN"/>
        </w:rPr>
        <w:t>oh</w:t>
      </w:r>
      <w:r w:rsidRPr="007136CB">
        <w:rPr>
          <w:rFonts w:eastAsia="等线"/>
          <w:vertAlign w:val="superscript"/>
          <w:lang w:eastAsia="zh-CN"/>
        </w:rPr>
        <w:t xml:space="preserve">PRB </w:t>
      </w:r>
      <w:r w:rsidRPr="007136CB">
        <w:rPr>
          <w:rFonts w:eastAsia="等线"/>
          <w:lang w:eastAsia="zh-CN"/>
        </w:rPr>
        <w:t xml:space="preserve">is assumed to be the same for all the slots over which the </w:t>
      </w:r>
      <w:r>
        <w:rPr>
          <w:rFonts w:eastAsia="等线"/>
          <w:lang w:eastAsia="zh-CN"/>
        </w:rPr>
        <w:t>TOT</w:t>
      </w:r>
      <w:r w:rsidRPr="007136CB">
        <w:rPr>
          <w:rFonts w:eastAsia="等线"/>
          <w:lang w:eastAsia="zh-CN"/>
        </w:rPr>
        <w:t xml:space="preserve"> transmission is allocated and can be configured by xOverhead as in Rel-15/16</w:t>
      </w:r>
      <w:r>
        <w:rPr>
          <w:rFonts w:eastAsia="等线"/>
          <w:lang w:eastAsia="zh-CN"/>
        </w:rPr>
        <w:t>.</w:t>
      </w:r>
    </w:p>
    <w:p w14:paraId="13C0FFA5" w14:textId="77777777" w:rsidR="00C859E0" w:rsidRPr="00FE1033" w:rsidRDefault="00C859E0" w:rsidP="00C859E0">
      <w:pPr>
        <w:jc w:val="both"/>
        <w:rPr>
          <w:b/>
          <w:i/>
          <w:lang w:val="en-GB"/>
        </w:rPr>
      </w:pPr>
      <w:r>
        <w:rPr>
          <w:b/>
          <w:i/>
          <w:lang w:val="en-GB"/>
        </w:rPr>
        <w:t>Proposal 3</w:t>
      </w:r>
      <w:r w:rsidRPr="00FE1033">
        <w:rPr>
          <w:b/>
          <w:i/>
          <w:lang w:val="en-GB"/>
        </w:rPr>
        <w:t>: TBS is calcul</w:t>
      </w:r>
      <w:r>
        <w:rPr>
          <w:b/>
          <w:i/>
          <w:lang w:val="en-GB"/>
        </w:rPr>
        <w:t>ated using the total number of R</w:t>
      </w:r>
      <w:r w:rsidRPr="00FE1033">
        <w:rPr>
          <w:b/>
          <w:i/>
          <w:lang w:val="en-GB"/>
        </w:rPr>
        <w:t xml:space="preserve">Es across the </w:t>
      </w:r>
      <w:r>
        <w:rPr>
          <w:b/>
          <w:i/>
          <w:lang w:val="en-GB"/>
        </w:rPr>
        <w:t xml:space="preserve">symbols on which </w:t>
      </w:r>
      <w:r w:rsidRPr="00FE1033">
        <w:rPr>
          <w:b/>
          <w:i/>
          <w:lang w:val="en-GB"/>
        </w:rPr>
        <w:t>TBoMS</w:t>
      </w:r>
      <w:r>
        <w:rPr>
          <w:b/>
          <w:i/>
          <w:lang w:val="en-GB"/>
        </w:rPr>
        <w:t xml:space="preserve"> is defined</w:t>
      </w:r>
      <w:r w:rsidRPr="00FE1033">
        <w:rPr>
          <w:b/>
          <w:i/>
          <w:lang w:val="en-GB"/>
        </w:rPr>
        <w:t xml:space="preserve">. </w:t>
      </w:r>
    </w:p>
    <w:p w14:paraId="62AEC091" w14:textId="555B05BF" w:rsidR="00FE1033" w:rsidRPr="00F456D9" w:rsidRDefault="00FE1033" w:rsidP="00F456D9">
      <w:pPr>
        <w:pStyle w:val="Heading2"/>
        <w:rPr>
          <w:rFonts w:ascii="Times New Roman" w:hAnsi="Times New Roman"/>
        </w:rPr>
      </w:pPr>
      <w:r w:rsidRPr="00F456D9">
        <w:rPr>
          <w:rFonts w:ascii="Times New Roman" w:hAnsi="Times New Roman"/>
        </w:rPr>
        <w:t>Implementation issues of TBoMS</w:t>
      </w:r>
    </w:p>
    <w:p w14:paraId="22640DE5" w14:textId="27CC7321" w:rsidR="00C859E0" w:rsidRDefault="00C859E0" w:rsidP="00C859E0">
      <w:pPr>
        <w:jc w:val="both"/>
        <w:rPr>
          <w:lang w:val="en-GB"/>
        </w:rPr>
      </w:pPr>
      <w:r>
        <w:rPr>
          <w:lang w:val="en-GB"/>
        </w:rPr>
        <w:t>Transmission Occasion (TOT) as defined earlier is spread across multiple UL slots including the UL resources in the special slots. In TBoMS operation, each TB is transmitted over one TOT. Thus the TBoMS operation is carried out in terms of TOT units. Each TBoMS is associated with one TOT which can span across multiple non-consecutive slots as shown in the Fig 2. The valid symbols with TOT are considered for TBoMS and the encoded TB is rate-matched to fit into the aggregated REs across the slots in TOT. In this process, single RV based approach is adopted to rate-match the encoded data. The symbols that are valid for TBoMS within the TOT are considered based RRC messages. As all the transmissions in TBoMS are considered to be transmitted on same set of REs in frequency domain, other signals and channels like SRS and PUCCH can interfere w</w:t>
      </w:r>
      <w:r w:rsidR="00D05CAD">
        <w:rPr>
          <w:lang w:val="en-GB"/>
        </w:rPr>
        <w:t xml:space="preserve"> </w:t>
      </w:r>
      <w:r>
        <w:rPr>
          <w:lang w:val="en-GB"/>
        </w:rPr>
        <w:t>ith the transmission of PUSCH TBoMS. Such symbols are considered as invalid symbols for TBoMS transmission. In case of repetition is enabled over TBoMS, each TOT associated to each repetition is determined to have same size. It is to further discuss the repetitions of TBoMS to have different RVs or single RV.</w:t>
      </w:r>
    </w:p>
    <w:p w14:paraId="7375DEEF" w14:textId="1CCCD99A" w:rsidR="00C859E0" w:rsidRDefault="00C859E0" w:rsidP="00C859E0">
      <w:pPr>
        <w:jc w:val="both"/>
        <w:rPr>
          <w:lang w:val="en-GB"/>
        </w:rPr>
      </w:pPr>
      <w:r>
        <w:rPr>
          <w:lang w:val="en-GB"/>
        </w:rPr>
        <w:t xml:space="preserve">Simulations are conducted to check the performance between the RV cycling and single RV based approaches. In single RV based approach, encoded data is rate-matched to fit across all the REs of defined TBoMS whereas in RV cycling approach, multiple RVs are changed in the order of {0, 2, 3, and 1} for each slot. The results are presented in Fig 3 and the simulation configuration setup in Table 1. In this setup, we consider 30 PRBs in each slot allocated on same set of subcarriers across all slots for TBoMS. The calculation of TBS is based on all the available REs across the slots. RV cycling and single RV spreading options are evaluated by considering 2, 3 and four slots in the present simulation. The TBS and TDRA are chosen to meet the minimum data rate requirement of 1 Mbps for UL. From the simulation results, it can be observed that there is no significant difference in the performance between RV cycling and single RV based transmission. </w:t>
      </w:r>
      <w:r w:rsidR="00563562" w:rsidRPr="00563562">
        <w:rPr>
          <w:lang w:val="en-GB"/>
        </w:rPr>
        <w:t>As the performance difference between the two approaches is limited, single RV based approach is preferable because of its implementation simplicity. We further show the benefits of using the resources of special slot along with the UL slots. Fig 4 presents the simulation results by considering one special slot along with the considered UL slots. In the simulation, we evaluate the special slot with 4 and 7 OFDM symbols for UL. It is evident that more the resources in special slot better the performance because of the extra resources.</w:t>
      </w:r>
    </w:p>
    <w:p w14:paraId="4CE89C9A" w14:textId="77777777" w:rsidR="00C859E0" w:rsidRDefault="00C859E0" w:rsidP="00C859E0">
      <w:pPr>
        <w:jc w:val="both"/>
        <w:rPr>
          <w:lang w:val="en-GB"/>
        </w:rPr>
      </w:pPr>
    </w:p>
    <w:p w14:paraId="12CC9032" w14:textId="77777777" w:rsidR="00C859E0" w:rsidRDefault="00C859E0" w:rsidP="00C859E0">
      <w:pPr>
        <w:jc w:val="center"/>
        <w:rPr>
          <w:lang w:val="en-GB"/>
        </w:rPr>
      </w:pPr>
      <w:r w:rsidRPr="00952B0F">
        <w:rPr>
          <w:noProof/>
          <w:lang w:eastAsia="zh-CN"/>
        </w:rPr>
        <w:drawing>
          <wp:inline distT="0" distB="0" distL="0" distR="0" wp14:anchorId="62327C0F" wp14:editId="45CE4941">
            <wp:extent cx="4305880" cy="885825"/>
            <wp:effectExtent l="0" t="0" r="0" b="0"/>
            <wp:docPr id="10" name="Picture 10" descr="U:\Status_Presentations\Captur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tatus_Presentations\Capture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2014" cy="893259"/>
                    </a:xfrm>
                    <a:prstGeom prst="rect">
                      <a:avLst/>
                    </a:prstGeom>
                    <a:noFill/>
                    <a:ln>
                      <a:noFill/>
                    </a:ln>
                  </pic:spPr>
                </pic:pic>
              </a:graphicData>
            </a:graphic>
          </wp:inline>
        </w:drawing>
      </w:r>
    </w:p>
    <w:p w14:paraId="4CC4963F" w14:textId="77777777" w:rsidR="00C859E0" w:rsidRDefault="00C859E0" w:rsidP="00C859E0">
      <w:pPr>
        <w:jc w:val="center"/>
        <w:rPr>
          <w:lang w:val="en-GB"/>
        </w:rPr>
      </w:pPr>
      <w:r>
        <w:rPr>
          <w:lang w:val="en-GB"/>
        </w:rPr>
        <w:t>Fig 2: Single TOTs used for TBoMS.</w:t>
      </w:r>
    </w:p>
    <w:p w14:paraId="2CC4BEB0" w14:textId="65BB6B9E" w:rsidR="00C859E0" w:rsidRDefault="00C859E0" w:rsidP="00C859E0">
      <w:pPr>
        <w:jc w:val="both"/>
        <w:rPr>
          <w:b/>
          <w:i/>
          <w:lang w:val="en-GB"/>
        </w:rPr>
      </w:pPr>
      <w:r>
        <w:rPr>
          <w:b/>
          <w:i/>
          <w:lang w:val="en-GB"/>
        </w:rPr>
        <w:t>Proposal 4</w:t>
      </w:r>
      <w:r w:rsidRPr="00343453">
        <w:rPr>
          <w:b/>
          <w:i/>
          <w:lang w:val="en-GB"/>
        </w:rPr>
        <w:t xml:space="preserve">: </w:t>
      </w:r>
      <w:r w:rsidR="00C856C2">
        <w:rPr>
          <w:b/>
          <w:i/>
          <w:lang w:val="en-GB"/>
        </w:rPr>
        <w:t xml:space="preserve">Support Option </w:t>
      </w:r>
      <w:r w:rsidR="00C856C2">
        <w:rPr>
          <w:rFonts w:hint="eastAsia"/>
          <w:b/>
          <w:i/>
          <w:lang w:val="en-GB" w:eastAsia="zh-CN"/>
        </w:rPr>
        <w:t>1</w:t>
      </w:r>
      <w:r w:rsidR="00C856C2">
        <w:rPr>
          <w:b/>
          <w:i/>
          <w:lang w:val="en-GB" w:eastAsia="zh-CN"/>
        </w:rPr>
        <w:t xml:space="preserve">: i.e., </w:t>
      </w:r>
      <w:r w:rsidR="00C856C2" w:rsidRPr="00C856C2">
        <w:rPr>
          <w:b/>
          <w:i/>
          <w:lang w:val="en-GB" w:eastAsia="zh-CN"/>
        </w:rPr>
        <w:t>Only one TOT is determined for a TBoMS. The TB is transmitted on the TOT using a single RV.</w:t>
      </w:r>
    </w:p>
    <w:p w14:paraId="12D42A93" w14:textId="77777777" w:rsidR="00C859E0" w:rsidRDefault="00C859E0" w:rsidP="00C859E0">
      <w:pPr>
        <w:jc w:val="both"/>
        <w:rPr>
          <w:b/>
          <w:i/>
          <w:lang w:val="en-GB"/>
        </w:rPr>
      </w:pPr>
      <w:r>
        <w:rPr>
          <w:b/>
          <w:i/>
          <w:lang w:val="en-GB"/>
        </w:rPr>
        <w:lastRenderedPageBreak/>
        <w:t>Proposal 5: In case of repetitions over TBoMS, each TOT is determined to have same number of REs for TBoMS.</w:t>
      </w:r>
    </w:p>
    <w:p w14:paraId="70720B90" w14:textId="77777777" w:rsidR="00C859E0" w:rsidRDefault="00C859E0" w:rsidP="00C859E0">
      <w:pPr>
        <w:jc w:val="both"/>
        <w:rPr>
          <w:b/>
          <w:i/>
          <w:lang w:val="en-GB"/>
        </w:rPr>
      </w:pPr>
    </w:p>
    <w:p w14:paraId="37DC9ACF" w14:textId="77777777" w:rsidR="00C859E0" w:rsidRDefault="00C859E0" w:rsidP="00C859E0">
      <w:pPr>
        <w:jc w:val="both"/>
        <w:rPr>
          <w:b/>
          <w:i/>
          <w:lang w:val="en-GB"/>
        </w:rPr>
      </w:pPr>
    </w:p>
    <w:p w14:paraId="252BBBE9" w14:textId="77777777" w:rsidR="00C859E0" w:rsidRPr="009E2237" w:rsidRDefault="00C859E0" w:rsidP="00C859E0">
      <w:pPr>
        <w:jc w:val="both"/>
        <w:rPr>
          <w:lang w:val="en-GB"/>
        </w:rPr>
      </w:pPr>
      <w:r w:rsidRPr="009E2237">
        <w:rPr>
          <w:lang w:val="en-GB"/>
        </w:rPr>
        <w:t>Table 1: Simulation assumptions</w:t>
      </w:r>
    </w:p>
    <w:tbl>
      <w:tblPr>
        <w:tblW w:w="4578" w:type="dxa"/>
        <w:tblCellMar>
          <w:left w:w="0" w:type="dxa"/>
          <w:right w:w="0" w:type="dxa"/>
        </w:tblCellMar>
        <w:tblLook w:val="04A0" w:firstRow="1" w:lastRow="0" w:firstColumn="1" w:lastColumn="0" w:noHBand="0" w:noVBand="1"/>
      </w:tblPr>
      <w:tblGrid>
        <w:gridCol w:w="2252"/>
        <w:gridCol w:w="2326"/>
      </w:tblGrid>
      <w:tr w:rsidR="00C859E0" w:rsidRPr="00C807D8" w14:paraId="6C85C79D" w14:textId="77777777" w:rsidTr="00134C4C">
        <w:trPr>
          <w:trHeight w:val="195"/>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9D4A2C7"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Simulation parameter</w:t>
            </w:r>
          </w:p>
        </w:tc>
        <w:tc>
          <w:tcPr>
            <w:tcW w:w="2326"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0D756A90"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Value</w:t>
            </w:r>
          </w:p>
        </w:tc>
      </w:tr>
      <w:tr w:rsidR="00C859E0" w:rsidRPr="00C807D8" w14:paraId="644BC689"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6347BFCE"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Antenna configuration</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52961FB8"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1TX*1RX</w:t>
            </w:r>
          </w:p>
        </w:tc>
      </w:tr>
      <w:tr w:rsidR="00C859E0" w:rsidRPr="00C807D8" w14:paraId="5C10EFDC"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A0C56CD"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Channel model</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566AD8ED"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heme="minorEastAsia"/>
                <w:color w:val="000000" w:themeColor="text1"/>
                <w:kern w:val="24"/>
                <w:lang w:val="en-GB" w:eastAsia="zh-TW"/>
              </w:rPr>
              <w:t>TDL-C (300ns)</w:t>
            </w:r>
          </w:p>
        </w:tc>
      </w:tr>
      <w:tr w:rsidR="00C859E0" w:rsidRPr="00C807D8" w14:paraId="53994F72"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0CEBD1E"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b/>
                <w:bCs/>
                <w:color w:val="000000" w:themeColor="text1"/>
                <w:kern w:val="24"/>
                <w:lang w:eastAsia="zh-TW"/>
              </w:rPr>
              <w:t>Carrier frequency</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639D47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color w:val="000000" w:themeColor="text1"/>
                <w:kern w:val="24"/>
                <w:lang w:eastAsia="zh-TW"/>
              </w:rPr>
              <w:t>700MHz</w:t>
            </w:r>
          </w:p>
        </w:tc>
      </w:tr>
      <w:tr w:rsidR="00C859E0" w:rsidRPr="00C807D8" w14:paraId="1706A221"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3B899D4F"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Doppler spread</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2964B1D3"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30Hz</w:t>
            </w:r>
          </w:p>
        </w:tc>
      </w:tr>
      <w:tr w:rsidR="00C859E0" w:rsidRPr="00C807D8" w14:paraId="2DBFA76F"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7486817C"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Modulation order</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7226669"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QPSK</w:t>
            </w:r>
          </w:p>
        </w:tc>
      </w:tr>
      <w:tr w:rsidR="00C859E0" w:rsidRPr="00C807D8" w14:paraId="0372B8DA" w14:textId="77777777" w:rsidTr="00134C4C">
        <w:trPr>
          <w:trHeight w:val="186"/>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2C870645"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Channel estimation</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530860B4"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Ideal channel</w:t>
            </w:r>
          </w:p>
        </w:tc>
      </w:tr>
      <w:tr w:rsidR="00C859E0" w:rsidRPr="00C807D8" w14:paraId="786D52F5"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632A4667"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Cross-SF channel estimation</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7DBDAFF"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heme="minorEastAsia"/>
                <w:color w:val="000000" w:themeColor="text1"/>
                <w:kern w:val="24"/>
                <w:lang w:val="en-GB" w:eastAsia="zh-TW"/>
              </w:rPr>
              <w:t>NA</w:t>
            </w:r>
          </w:p>
        </w:tc>
      </w:tr>
      <w:tr w:rsidR="00C859E0" w:rsidRPr="00C807D8" w14:paraId="64678455" w14:textId="77777777" w:rsidTr="00134C4C">
        <w:trPr>
          <w:trHeight w:val="259"/>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514778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Allocated physical resources in each slot</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4D3AD0C2"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30 PRB</w:t>
            </w:r>
          </w:p>
        </w:tc>
      </w:tr>
      <w:tr w:rsidR="00C859E0" w:rsidRPr="00C807D8" w14:paraId="48FA76E1"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724C9342"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TTI length</w:t>
            </w:r>
          </w:p>
        </w:tc>
        <w:tc>
          <w:tcPr>
            <w:tcW w:w="2326"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7EBA37C5"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color w:val="000000" w:themeColor="text1"/>
                <w:kern w:val="24"/>
                <w:lang w:val="en-GB" w:eastAsia="zh-TW"/>
              </w:rPr>
              <w:t>1, 2, 3, 4</w:t>
            </w:r>
          </w:p>
        </w:tc>
      </w:tr>
      <w:tr w:rsidR="00C859E0" w:rsidRPr="00C807D8" w14:paraId="10F7B694" w14:textId="77777777" w:rsidTr="00134C4C">
        <w:trPr>
          <w:trHeight w:val="182"/>
        </w:trPr>
        <w:tc>
          <w:tcPr>
            <w:tcW w:w="2252"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BAF6862"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Times New Roman"/>
                <w:b/>
                <w:bCs/>
                <w:color w:val="000000" w:themeColor="text1"/>
                <w:kern w:val="24"/>
                <w:lang w:val="en-GB" w:eastAsia="zh-TW"/>
              </w:rPr>
              <w:t>TBS</w:t>
            </w:r>
          </w:p>
        </w:tc>
        <w:tc>
          <w:tcPr>
            <w:tcW w:w="2326"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23445EDB" w14:textId="77777777" w:rsidR="00C859E0" w:rsidRPr="00C807D8" w:rsidRDefault="00C859E0" w:rsidP="00134C4C">
            <w:pPr>
              <w:autoSpaceDE/>
              <w:autoSpaceDN/>
              <w:adjustRightInd/>
              <w:spacing w:after="0" w:line="276" w:lineRule="auto"/>
              <w:jc w:val="center"/>
              <w:rPr>
                <w:rFonts w:eastAsia="Times New Roman"/>
                <w:lang w:eastAsia="zh-TW"/>
              </w:rPr>
            </w:pPr>
            <w:r w:rsidRPr="00C807D8">
              <w:rPr>
                <w:rFonts w:eastAsia="PMingLiU"/>
                <w:color w:val="000000" w:themeColor="text1"/>
                <w:kern w:val="24"/>
                <w:lang w:eastAsia="zh-TW"/>
              </w:rPr>
              <w:t>3368</w:t>
            </w:r>
          </w:p>
        </w:tc>
      </w:tr>
    </w:tbl>
    <w:p w14:paraId="0A23F607" w14:textId="77777777" w:rsidR="00C859E0" w:rsidRDefault="00C859E0" w:rsidP="00C859E0">
      <w:pPr>
        <w:jc w:val="both"/>
        <w:rPr>
          <w:b/>
          <w:i/>
          <w:lang w:val="en-GB"/>
        </w:rPr>
      </w:pPr>
      <w:r w:rsidRPr="008364D2">
        <w:rPr>
          <w:b/>
          <w:i/>
          <w:noProof/>
          <w:lang w:eastAsia="zh-CN"/>
        </w:rPr>
        <w:drawing>
          <wp:inline distT="0" distB="0" distL="0" distR="0" wp14:anchorId="32ED5E83" wp14:editId="574F9D28">
            <wp:extent cx="3016527" cy="2432050"/>
            <wp:effectExtent l="0" t="0" r="0" b="635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3028217" cy="2441475"/>
                    </a:xfrm>
                    <a:prstGeom prst="rect">
                      <a:avLst/>
                    </a:prstGeom>
                  </pic:spPr>
                </pic:pic>
              </a:graphicData>
            </a:graphic>
          </wp:inline>
        </w:drawing>
      </w:r>
    </w:p>
    <w:p w14:paraId="20A22F1B" w14:textId="77777777" w:rsidR="00C859E0" w:rsidRDefault="00C859E0" w:rsidP="00C859E0">
      <w:pPr>
        <w:jc w:val="both"/>
        <w:rPr>
          <w:lang w:val="en-GB"/>
        </w:rPr>
      </w:pPr>
      <w:r w:rsidRPr="009E2237">
        <w:rPr>
          <w:lang w:val="en-GB"/>
        </w:rPr>
        <w:t xml:space="preserve">Fig </w:t>
      </w:r>
      <w:r>
        <w:rPr>
          <w:lang w:val="en-GB"/>
        </w:rPr>
        <w:t>3</w:t>
      </w:r>
      <w:r w:rsidRPr="009E2237">
        <w:rPr>
          <w:lang w:val="en-GB"/>
        </w:rPr>
        <w:t>. BLER vs SNR for RV cycling vs single RV based TBoMS</w:t>
      </w:r>
    </w:p>
    <w:p w14:paraId="08F5DA01" w14:textId="77777777" w:rsidR="00C859E0" w:rsidRDefault="00C859E0" w:rsidP="00C859E0">
      <w:pPr>
        <w:jc w:val="both"/>
        <w:rPr>
          <w:lang w:val="en-GB"/>
        </w:rPr>
      </w:pPr>
      <w:r w:rsidRPr="00642CF2">
        <w:rPr>
          <w:noProof/>
          <w:lang w:eastAsia="zh-CN"/>
        </w:rPr>
        <w:drawing>
          <wp:inline distT="0" distB="0" distL="0" distR="0" wp14:anchorId="244CF202" wp14:editId="36ECEE79">
            <wp:extent cx="3022600" cy="2346644"/>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3037570" cy="2358267"/>
                    </a:xfrm>
                    <a:prstGeom prst="rect">
                      <a:avLst/>
                    </a:prstGeom>
                  </pic:spPr>
                </pic:pic>
              </a:graphicData>
            </a:graphic>
          </wp:inline>
        </w:drawing>
      </w:r>
    </w:p>
    <w:p w14:paraId="5AB91EDF" w14:textId="77777777" w:rsidR="00C859E0" w:rsidRPr="009E2237" w:rsidRDefault="00C859E0" w:rsidP="00C859E0">
      <w:pPr>
        <w:jc w:val="both"/>
        <w:rPr>
          <w:lang w:val="en-GB"/>
        </w:rPr>
      </w:pPr>
      <w:r>
        <w:rPr>
          <w:lang w:val="en-GB"/>
        </w:rPr>
        <w:t>Fig. 4. BLER performance with 1 special slot for TBoMS</w:t>
      </w:r>
    </w:p>
    <w:p w14:paraId="0AE227EF" w14:textId="77777777" w:rsidR="00C859E0" w:rsidRPr="00014179" w:rsidRDefault="00C859E0" w:rsidP="00C859E0">
      <w:pPr>
        <w:pStyle w:val="Heading1"/>
        <w:numPr>
          <w:ilvl w:val="0"/>
          <w:numId w:val="0"/>
        </w:numPr>
        <w:ind w:left="432" w:hanging="432"/>
        <w:rPr>
          <w:rFonts w:ascii="Times New Roman" w:hAnsi="Times New Roman"/>
        </w:rPr>
      </w:pPr>
      <w:r w:rsidRPr="00014179">
        <w:rPr>
          <w:rFonts w:ascii="Times New Roman" w:hAnsi="Times New Roman"/>
        </w:rPr>
        <w:lastRenderedPageBreak/>
        <w:t>3. Conclusions</w:t>
      </w:r>
    </w:p>
    <w:p w14:paraId="2122A3EA" w14:textId="77777777" w:rsidR="00C859E0" w:rsidRDefault="00C859E0" w:rsidP="00C859E0">
      <w:pPr>
        <w:spacing w:before="240" w:line="276" w:lineRule="auto"/>
        <w:rPr>
          <w:rFonts w:eastAsia="等线"/>
          <w:szCs w:val="22"/>
          <w:lang w:eastAsia="zh-CN" w:bidi="ar"/>
        </w:rPr>
      </w:pPr>
      <w:r>
        <w:rPr>
          <w:rFonts w:eastAsia="等线"/>
          <w:szCs w:val="22"/>
          <w:lang w:eastAsia="zh-CN" w:bidi="ar"/>
        </w:rPr>
        <w:t>In this report, we discuss the mechanism of the operation for TB over multi-slot. The following proposals are made:</w:t>
      </w:r>
    </w:p>
    <w:p w14:paraId="48F7024D" w14:textId="77777777" w:rsidR="00C859E0" w:rsidRDefault="00C859E0" w:rsidP="00C859E0">
      <w:pPr>
        <w:jc w:val="both"/>
        <w:rPr>
          <w:b/>
          <w:i/>
          <w:lang w:val="en-GB"/>
        </w:rPr>
      </w:pPr>
      <w:r w:rsidRPr="00D26BBE">
        <w:rPr>
          <w:b/>
          <w:i/>
          <w:lang w:val="en-GB"/>
        </w:rPr>
        <w:t xml:space="preserve">Proposal 1: </w:t>
      </w:r>
      <w:r>
        <w:rPr>
          <w:b/>
          <w:i/>
          <w:lang w:val="en-GB"/>
        </w:rPr>
        <w:t>UL symbols in the s</w:t>
      </w:r>
      <w:r w:rsidRPr="00D26BBE">
        <w:rPr>
          <w:b/>
          <w:i/>
          <w:lang w:val="en-GB"/>
        </w:rPr>
        <w:t>pecial slots to be used for TBoMS</w:t>
      </w:r>
      <w:r>
        <w:rPr>
          <w:b/>
          <w:i/>
          <w:lang w:val="en-GB"/>
        </w:rPr>
        <w:t xml:space="preserve"> jointly with the following U slots and form TOT.</w:t>
      </w:r>
    </w:p>
    <w:p w14:paraId="472029F3" w14:textId="77777777" w:rsidR="00C859E0" w:rsidRDefault="00C859E0" w:rsidP="00C859E0">
      <w:pPr>
        <w:jc w:val="both"/>
        <w:rPr>
          <w:b/>
          <w:i/>
          <w:lang w:val="en-GB"/>
        </w:rPr>
      </w:pPr>
      <w:r w:rsidRPr="00D26BBE">
        <w:rPr>
          <w:b/>
          <w:i/>
          <w:lang w:val="en-GB"/>
        </w:rPr>
        <w:t xml:space="preserve">Proposal </w:t>
      </w:r>
      <w:r>
        <w:rPr>
          <w:b/>
          <w:i/>
          <w:lang w:val="en-GB"/>
        </w:rPr>
        <w:t>2</w:t>
      </w:r>
      <w:r w:rsidRPr="00D26BBE">
        <w:rPr>
          <w:b/>
          <w:i/>
          <w:lang w:val="en-GB"/>
        </w:rPr>
        <w:t xml:space="preserve">: </w:t>
      </w:r>
      <w:r>
        <w:rPr>
          <w:b/>
          <w:i/>
          <w:lang w:val="en-GB"/>
        </w:rPr>
        <w:t>TOT is defined to span across multiple slots. TOT can span over non-consecutive slots atleast for un-paired spectrum.</w:t>
      </w:r>
    </w:p>
    <w:p w14:paraId="37F63149" w14:textId="77777777" w:rsidR="00C859E0" w:rsidRPr="00FE1033" w:rsidRDefault="00C859E0" w:rsidP="00C859E0">
      <w:pPr>
        <w:jc w:val="both"/>
        <w:rPr>
          <w:b/>
          <w:i/>
          <w:lang w:val="en-GB"/>
        </w:rPr>
      </w:pPr>
      <w:r>
        <w:rPr>
          <w:b/>
          <w:i/>
          <w:lang w:val="en-GB"/>
        </w:rPr>
        <w:t>Proposal 3</w:t>
      </w:r>
      <w:r w:rsidRPr="00FE1033">
        <w:rPr>
          <w:b/>
          <w:i/>
          <w:lang w:val="en-GB"/>
        </w:rPr>
        <w:t>: TBS is calcul</w:t>
      </w:r>
      <w:r>
        <w:rPr>
          <w:b/>
          <w:i/>
          <w:lang w:val="en-GB"/>
        </w:rPr>
        <w:t>ated using the total number of R</w:t>
      </w:r>
      <w:r w:rsidRPr="00FE1033">
        <w:rPr>
          <w:b/>
          <w:i/>
          <w:lang w:val="en-GB"/>
        </w:rPr>
        <w:t xml:space="preserve">Es across the </w:t>
      </w:r>
      <w:r>
        <w:rPr>
          <w:b/>
          <w:i/>
          <w:lang w:val="en-GB"/>
        </w:rPr>
        <w:t xml:space="preserve">symbols on which </w:t>
      </w:r>
      <w:r w:rsidRPr="00FE1033">
        <w:rPr>
          <w:b/>
          <w:i/>
          <w:lang w:val="en-GB"/>
        </w:rPr>
        <w:t>TBoMS</w:t>
      </w:r>
      <w:r>
        <w:rPr>
          <w:b/>
          <w:i/>
          <w:lang w:val="en-GB"/>
        </w:rPr>
        <w:t xml:space="preserve"> is defined</w:t>
      </w:r>
      <w:r w:rsidRPr="00FE1033">
        <w:rPr>
          <w:b/>
          <w:i/>
          <w:lang w:val="en-GB"/>
        </w:rPr>
        <w:t xml:space="preserve">. </w:t>
      </w:r>
    </w:p>
    <w:p w14:paraId="4F5A338E" w14:textId="77777777" w:rsidR="00C856C2" w:rsidRDefault="00C856C2" w:rsidP="00C856C2">
      <w:pPr>
        <w:jc w:val="both"/>
        <w:rPr>
          <w:b/>
          <w:i/>
          <w:lang w:val="en-GB"/>
        </w:rPr>
      </w:pPr>
      <w:r>
        <w:rPr>
          <w:b/>
          <w:i/>
          <w:lang w:val="en-GB"/>
        </w:rPr>
        <w:t>Proposal 4</w:t>
      </w:r>
      <w:r w:rsidRPr="00343453">
        <w:rPr>
          <w:b/>
          <w:i/>
          <w:lang w:val="en-GB"/>
        </w:rPr>
        <w:t xml:space="preserve">: </w:t>
      </w:r>
      <w:r>
        <w:rPr>
          <w:b/>
          <w:i/>
          <w:lang w:val="en-GB"/>
        </w:rPr>
        <w:t xml:space="preserve">Support Option </w:t>
      </w:r>
      <w:r>
        <w:rPr>
          <w:rFonts w:hint="eastAsia"/>
          <w:b/>
          <w:i/>
          <w:lang w:val="en-GB" w:eastAsia="zh-CN"/>
        </w:rPr>
        <w:t>1</w:t>
      </w:r>
      <w:r>
        <w:rPr>
          <w:b/>
          <w:i/>
          <w:lang w:val="en-GB" w:eastAsia="zh-CN"/>
        </w:rPr>
        <w:t xml:space="preserve">: i.e., </w:t>
      </w:r>
      <w:r w:rsidRPr="00C856C2">
        <w:rPr>
          <w:b/>
          <w:i/>
          <w:lang w:val="en-GB" w:eastAsia="zh-CN"/>
        </w:rPr>
        <w:t>Only one TOT is determined for a TBoMS. The TB is transmitted on the TOT using a single RV.</w:t>
      </w:r>
    </w:p>
    <w:p w14:paraId="39D31183" w14:textId="77777777" w:rsidR="00C859E0" w:rsidRPr="00134C4C" w:rsidRDefault="00C859E0" w:rsidP="00C859E0">
      <w:pPr>
        <w:jc w:val="both"/>
        <w:rPr>
          <w:b/>
          <w:i/>
          <w:lang w:val="en-GB"/>
        </w:rPr>
      </w:pPr>
      <w:r>
        <w:rPr>
          <w:b/>
          <w:i/>
          <w:lang w:val="en-GB"/>
        </w:rPr>
        <w:t>Proposal 5: In case of repetitions over TBoMS, each TOT is determined to have same number of REs for TBoMS.</w:t>
      </w:r>
    </w:p>
    <w:p w14:paraId="71539F6F" w14:textId="77777777" w:rsidR="00C859E0" w:rsidRPr="00830423" w:rsidRDefault="00C859E0" w:rsidP="00C859E0">
      <w:pPr>
        <w:pStyle w:val="Heading1"/>
        <w:numPr>
          <w:ilvl w:val="0"/>
          <w:numId w:val="0"/>
        </w:numPr>
        <w:rPr>
          <w:rFonts w:ascii="Times New Roman" w:hAnsi="Times New Roman"/>
          <w:lang w:val="en-US"/>
        </w:rPr>
      </w:pPr>
      <w:r w:rsidRPr="00830423">
        <w:rPr>
          <w:rFonts w:ascii="Times New Roman" w:hAnsi="Times New Roman"/>
          <w:lang w:val="en-US"/>
        </w:rPr>
        <w:t>References</w:t>
      </w:r>
    </w:p>
    <w:p w14:paraId="4FE514DB" w14:textId="0B48486C" w:rsidR="00AF3291" w:rsidRPr="009F044A" w:rsidRDefault="00C859E0" w:rsidP="00C859E0">
      <w:pPr>
        <w:widowControl w:val="0"/>
        <w:numPr>
          <w:ilvl w:val="0"/>
          <w:numId w:val="42"/>
        </w:numPr>
        <w:overflowPunct/>
        <w:autoSpaceDE/>
        <w:adjustRightInd/>
        <w:spacing w:after="120"/>
        <w:jc w:val="both"/>
        <w:textAlignment w:val="auto"/>
        <w:rPr>
          <w:lang w:val="en-GB"/>
        </w:rPr>
      </w:pPr>
      <w:bookmarkStart w:id="3" w:name="_Ref64378117"/>
      <w:bookmarkStart w:id="4" w:name="_Ref47206669"/>
      <w:bookmarkStart w:id="5" w:name="_Ref30840956"/>
      <w:r w:rsidRPr="00CF5EE3">
        <w:rPr>
          <w:lang w:eastAsia="zh-CN"/>
        </w:rPr>
        <w:t>Chairman’s notes, RAN1 #104</w:t>
      </w:r>
      <w:r>
        <w:rPr>
          <w:lang w:eastAsia="zh-CN"/>
        </w:rPr>
        <w:t>-b</w:t>
      </w:r>
      <w:r w:rsidRPr="00CF5EE3">
        <w:rPr>
          <w:lang w:eastAsia="zh-CN"/>
        </w:rPr>
        <w:t xml:space="preserve"> e-Meeting, </w:t>
      </w:r>
      <w:r>
        <w:rPr>
          <w:lang w:eastAsia="zh-CN"/>
        </w:rPr>
        <w:t>April,</w:t>
      </w:r>
      <w:r w:rsidRPr="00CF5EE3">
        <w:rPr>
          <w:lang w:eastAsia="zh-CN"/>
        </w:rPr>
        <w:t xml:space="preserve"> 2021</w:t>
      </w:r>
      <w:bookmarkEnd w:id="3"/>
      <w:bookmarkEnd w:id="4"/>
      <w:bookmarkEnd w:id="5"/>
      <w:r w:rsidR="009F044A">
        <w:rPr>
          <w:lang w:val="en-GB"/>
        </w:rPr>
        <w:t>.</w:t>
      </w:r>
    </w:p>
    <w:sectPr w:rsidR="00AF3291" w:rsidRPr="009F044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E1987" w14:textId="77777777" w:rsidR="00B95805" w:rsidRDefault="00B95805" w:rsidP="00746535">
      <w:pPr>
        <w:spacing w:after="0"/>
      </w:pPr>
      <w:r>
        <w:separator/>
      </w:r>
    </w:p>
  </w:endnote>
  <w:endnote w:type="continuationSeparator" w:id="0">
    <w:p w14:paraId="050E4915" w14:textId="77777777" w:rsidR="00B95805" w:rsidRDefault="00B95805" w:rsidP="00746535">
      <w:pPr>
        <w:spacing w:after="0"/>
      </w:pPr>
      <w:r>
        <w:continuationSeparator/>
      </w:r>
    </w:p>
  </w:endnote>
  <w:endnote w:type="continuationNotice" w:id="1">
    <w:p w14:paraId="444D6D2E" w14:textId="77777777" w:rsidR="00B95805" w:rsidRDefault="00B95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EA3E4" w14:textId="77777777" w:rsidR="00B95805" w:rsidRDefault="00B95805" w:rsidP="00746535">
      <w:pPr>
        <w:spacing w:after="0"/>
      </w:pPr>
      <w:r>
        <w:separator/>
      </w:r>
    </w:p>
  </w:footnote>
  <w:footnote w:type="continuationSeparator" w:id="0">
    <w:p w14:paraId="321566AC" w14:textId="77777777" w:rsidR="00B95805" w:rsidRDefault="00B95805" w:rsidP="00746535">
      <w:pPr>
        <w:spacing w:after="0"/>
      </w:pPr>
      <w:r>
        <w:continuationSeparator/>
      </w:r>
    </w:p>
  </w:footnote>
  <w:footnote w:type="continuationNotice" w:id="1">
    <w:p w14:paraId="6C026313" w14:textId="77777777" w:rsidR="00B95805" w:rsidRDefault="00B958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92873"/>
    <w:multiLevelType w:val="hybridMultilevel"/>
    <w:tmpl w:val="171E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10519"/>
    <w:multiLevelType w:val="hybridMultilevel"/>
    <w:tmpl w:val="A1EC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233EB6"/>
    <w:multiLevelType w:val="hybridMultilevel"/>
    <w:tmpl w:val="FCEED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22F8C"/>
    <w:multiLevelType w:val="hybridMultilevel"/>
    <w:tmpl w:val="CD14F4F6"/>
    <w:lvl w:ilvl="0" w:tplc="0936AEFE">
      <w:start w:val="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9597D"/>
    <w:multiLevelType w:val="hybridMultilevel"/>
    <w:tmpl w:val="C9EACFB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A419B"/>
    <w:multiLevelType w:val="hybridMultilevel"/>
    <w:tmpl w:val="3E9C5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41"/>
  </w:num>
  <w:num w:numId="4">
    <w:abstractNumId w:val="29"/>
  </w:num>
  <w:num w:numId="5">
    <w:abstractNumId w:val="26"/>
  </w:num>
  <w:num w:numId="6">
    <w:abstractNumId w:val="6"/>
  </w:num>
  <w:num w:numId="7">
    <w:abstractNumId w:val="38"/>
  </w:num>
  <w:num w:numId="8">
    <w:abstractNumId w:val="23"/>
  </w:num>
  <w:num w:numId="9">
    <w:abstractNumId w:val="34"/>
  </w:num>
  <w:num w:numId="10">
    <w:abstractNumId w:val="27"/>
  </w:num>
  <w:num w:numId="11">
    <w:abstractNumId w:val="16"/>
  </w:num>
  <w:num w:numId="12">
    <w:abstractNumId w:val="3"/>
  </w:num>
  <w:num w:numId="13">
    <w:abstractNumId w:val="4"/>
  </w:num>
  <w:num w:numId="14">
    <w:abstractNumId w:val="36"/>
  </w:num>
  <w:num w:numId="15">
    <w:abstractNumId w:val="0"/>
  </w:num>
  <w:num w:numId="16">
    <w:abstractNumId w:val="30"/>
  </w:num>
  <w:num w:numId="17">
    <w:abstractNumId w:val="31"/>
  </w:num>
  <w:num w:numId="18">
    <w:abstractNumId w:val="39"/>
  </w:num>
  <w:num w:numId="19">
    <w:abstractNumId w:val="18"/>
  </w:num>
  <w:num w:numId="20">
    <w:abstractNumId w:val="24"/>
  </w:num>
  <w:num w:numId="21">
    <w:abstractNumId w:val="22"/>
  </w:num>
  <w:num w:numId="22">
    <w:abstractNumId w:val="20"/>
  </w:num>
  <w:num w:numId="23">
    <w:abstractNumId w:val="14"/>
  </w:num>
  <w:num w:numId="24">
    <w:abstractNumId w:val="11"/>
  </w:num>
  <w:num w:numId="25">
    <w:abstractNumId w:val="1"/>
    <w:lvlOverride w:ilvl="0">
      <w:startOverride w:val="1"/>
    </w:lvlOverride>
  </w:num>
  <w:num w:numId="26">
    <w:abstractNumId w:val="2"/>
  </w:num>
  <w:num w:numId="27">
    <w:abstractNumId w:val="33"/>
  </w:num>
  <w:num w:numId="28">
    <w:abstractNumId w:val="9"/>
  </w:num>
  <w:num w:numId="29">
    <w:abstractNumId w:val="19"/>
  </w:num>
  <w:num w:numId="30">
    <w:abstractNumId w:val="8"/>
  </w:num>
  <w:num w:numId="31">
    <w:abstractNumId w:val="7"/>
  </w:num>
  <w:num w:numId="32">
    <w:abstractNumId w:val="21"/>
  </w:num>
  <w:num w:numId="33">
    <w:abstractNumId w:val="15"/>
  </w:num>
  <w:num w:numId="34">
    <w:abstractNumId w:val="37"/>
  </w:num>
  <w:num w:numId="35">
    <w:abstractNumId w:val="35"/>
  </w:num>
  <w:num w:numId="36">
    <w:abstractNumId w:val="10"/>
  </w:num>
  <w:num w:numId="37">
    <w:abstractNumId w:val="17"/>
  </w:num>
  <w:num w:numId="38">
    <w:abstractNumId w:val="13"/>
  </w:num>
  <w:num w:numId="39">
    <w:abstractNumId w:val="32"/>
  </w:num>
  <w:num w:numId="40">
    <w:abstractNumId w:val="25"/>
  </w:num>
  <w:num w:numId="41">
    <w:abstractNumId w:val="4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C26"/>
    <w:rsid w:val="000C21E8"/>
    <w:rsid w:val="000C2908"/>
    <w:rsid w:val="000D3E4E"/>
    <w:rsid w:val="000D4892"/>
    <w:rsid w:val="000D7297"/>
    <w:rsid w:val="000E36EC"/>
    <w:rsid w:val="000E48F2"/>
    <w:rsid w:val="000E5607"/>
    <w:rsid w:val="000E6249"/>
    <w:rsid w:val="000F195F"/>
    <w:rsid w:val="000F5F22"/>
    <w:rsid w:val="000F7B85"/>
    <w:rsid w:val="00100C0C"/>
    <w:rsid w:val="001079CA"/>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930DD"/>
    <w:rsid w:val="00196851"/>
    <w:rsid w:val="001A110A"/>
    <w:rsid w:val="001A39C8"/>
    <w:rsid w:val="001A53F8"/>
    <w:rsid w:val="001A763F"/>
    <w:rsid w:val="001B1669"/>
    <w:rsid w:val="001B21F9"/>
    <w:rsid w:val="001B2355"/>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415E"/>
    <w:rsid w:val="00235FDF"/>
    <w:rsid w:val="0024332F"/>
    <w:rsid w:val="002433A0"/>
    <w:rsid w:val="0024472E"/>
    <w:rsid w:val="00247523"/>
    <w:rsid w:val="00260FB9"/>
    <w:rsid w:val="00261B06"/>
    <w:rsid w:val="002677CF"/>
    <w:rsid w:val="00267F25"/>
    <w:rsid w:val="00271666"/>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4D4"/>
    <w:rsid w:val="002C7E73"/>
    <w:rsid w:val="002D1318"/>
    <w:rsid w:val="002E1B20"/>
    <w:rsid w:val="002E2613"/>
    <w:rsid w:val="002F4383"/>
    <w:rsid w:val="002F5C0B"/>
    <w:rsid w:val="00301906"/>
    <w:rsid w:val="00304979"/>
    <w:rsid w:val="00305DB3"/>
    <w:rsid w:val="0030770B"/>
    <w:rsid w:val="0031110E"/>
    <w:rsid w:val="003137D2"/>
    <w:rsid w:val="0031510A"/>
    <w:rsid w:val="00322F63"/>
    <w:rsid w:val="00333E72"/>
    <w:rsid w:val="003346F0"/>
    <w:rsid w:val="00342965"/>
    <w:rsid w:val="00343453"/>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5117"/>
    <w:rsid w:val="003F1425"/>
    <w:rsid w:val="003F214A"/>
    <w:rsid w:val="003F6B18"/>
    <w:rsid w:val="0040345F"/>
    <w:rsid w:val="00405299"/>
    <w:rsid w:val="00410BAC"/>
    <w:rsid w:val="00410CCF"/>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3CCB"/>
    <w:rsid w:val="004E48B0"/>
    <w:rsid w:val="004E67B2"/>
    <w:rsid w:val="004F295D"/>
    <w:rsid w:val="004F4610"/>
    <w:rsid w:val="004F6AFC"/>
    <w:rsid w:val="0050049D"/>
    <w:rsid w:val="00501F15"/>
    <w:rsid w:val="0050529E"/>
    <w:rsid w:val="00507411"/>
    <w:rsid w:val="00513254"/>
    <w:rsid w:val="005152A8"/>
    <w:rsid w:val="005163CE"/>
    <w:rsid w:val="00521AA5"/>
    <w:rsid w:val="0052380E"/>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A28AF"/>
    <w:rsid w:val="005A33DD"/>
    <w:rsid w:val="005A34A5"/>
    <w:rsid w:val="005A5FF0"/>
    <w:rsid w:val="005A74CC"/>
    <w:rsid w:val="005B0C9C"/>
    <w:rsid w:val="005B3A24"/>
    <w:rsid w:val="005C0886"/>
    <w:rsid w:val="005C0B6B"/>
    <w:rsid w:val="005C769E"/>
    <w:rsid w:val="005E0961"/>
    <w:rsid w:val="005E1032"/>
    <w:rsid w:val="005E4C14"/>
    <w:rsid w:val="005E5BE5"/>
    <w:rsid w:val="005F2123"/>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29A1"/>
    <w:rsid w:val="006438F0"/>
    <w:rsid w:val="00645883"/>
    <w:rsid w:val="006477DB"/>
    <w:rsid w:val="00657626"/>
    <w:rsid w:val="0066272D"/>
    <w:rsid w:val="0066276B"/>
    <w:rsid w:val="00662FEF"/>
    <w:rsid w:val="00663B30"/>
    <w:rsid w:val="0066409B"/>
    <w:rsid w:val="0066446C"/>
    <w:rsid w:val="006666C6"/>
    <w:rsid w:val="00674539"/>
    <w:rsid w:val="0067530F"/>
    <w:rsid w:val="00677AA3"/>
    <w:rsid w:val="00680CA2"/>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39DC"/>
    <w:rsid w:val="00746535"/>
    <w:rsid w:val="007468F1"/>
    <w:rsid w:val="00746ABA"/>
    <w:rsid w:val="00747ED4"/>
    <w:rsid w:val="007515ED"/>
    <w:rsid w:val="007556E1"/>
    <w:rsid w:val="0076488F"/>
    <w:rsid w:val="00771707"/>
    <w:rsid w:val="0078086F"/>
    <w:rsid w:val="00782900"/>
    <w:rsid w:val="007833A7"/>
    <w:rsid w:val="00786AC7"/>
    <w:rsid w:val="00794097"/>
    <w:rsid w:val="007A2558"/>
    <w:rsid w:val="007A701D"/>
    <w:rsid w:val="007B613E"/>
    <w:rsid w:val="007B79E2"/>
    <w:rsid w:val="007C360E"/>
    <w:rsid w:val="007D58CF"/>
    <w:rsid w:val="007D6638"/>
    <w:rsid w:val="007E6BE6"/>
    <w:rsid w:val="007F3B3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7E3A"/>
    <w:rsid w:val="008609B4"/>
    <w:rsid w:val="00864501"/>
    <w:rsid w:val="00875B4E"/>
    <w:rsid w:val="0087613F"/>
    <w:rsid w:val="00890434"/>
    <w:rsid w:val="00890742"/>
    <w:rsid w:val="00892410"/>
    <w:rsid w:val="00895EC4"/>
    <w:rsid w:val="0089760F"/>
    <w:rsid w:val="008976E1"/>
    <w:rsid w:val="008A2692"/>
    <w:rsid w:val="008A4299"/>
    <w:rsid w:val="008A4477"/>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6C7B"/>
    <w:rsid w:val="009712B1"/>
    <w:rsid w:val="0097542D"/>
    <w:rsid w:val="00975E25"/>
    <w:rsid w:val="009761D3"/>
    <w:rsid w:val="009909BF"/>
    <w:rsid w:val="00994513"/>
    <w:rsid w:val="00995E87"/>
    <w:rsid w:val="009A193B"/>
    <w:rsid w:val="009A1EFD"/>
    <w:rsid w:val="009A22AE"/>
    <w:rsid w:val="009B4FA7"/>
    <w:rsid w:val="009B672E"/>
    <w:rsid w:val="009C46F8"/>
    <w:rsid w:val="009C52E6"/>
    <w:rsid w:val="009C718F"/>
    <w:rsid w:val="009C7DC8"/>
    <w:rsid w:val="009D299F"/>
    <w:rsid w:val="009D2ECE"/>
    <w:rsid w:val="009D3364"/>
    <w:rsid w:val="009E09EA"/>
    <w:rsid w:val="009E2F82"/>
    <w:rsid w:val="009E6142"/>
    <w:rsid w:val="009E7305"/>
    <w:rsid w:val="009F044A"/>
    <w:rsid w:val="009F1389"/>
    <w:rsid w:val="009F4343"/>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59FB"/>
    <w:rsid w:val="00A61F99"/>
    <w:rsid w:val="00A62DC0"/>
    <w:rsid w:val="00A62F46"/>
    <w:rsid w:val="00A65FDA"/>
    <w:rsid w:val="00A87C2B"/>
    <w:rsid w:val="00A91472"/>
    <w:rsid w:val="00A92638"/>
    <w:rsid w:val="00A9321F"/>
    <w:rsid w:val="00A93F78"/>
    <w:rsid w:val="00A97F1A"/>
    <w:rsid w:val="00AA645E"/>
    <w:rsid w:val="00AB1B29"/>
    <w:rsid w:val="00AC1CBE"/>
    <w:rsid w:val="00AC6DEC"/>
    <w:rsid w:val="00AC7489"/>
    <w:rsid w:val="00AD2B31"/>
    <w:rsid w:val="00AD4509"/>
    <w:rsid w:val="00AF275E"/>
    <w:rsid w:val="00AF3291"/>
    <w:rsid w:val="00B0164C"/>
    <w:rsid w:val="00B04BAB"/>
    <w:rsid w:val="00B12284"/>
    <w:rsid w:val="00B1655A"/>
    <w:rsid w:val="00B27123"/>
    <w:rsid w:val="00B275E2"/>
    <w:rsid w:val="00B27AD3"/>
    <w:rsid w:val="00B34008"/>
    <w:rsid w:val="00B34EBA"/>
    <w:rsid w:val="00B44098"/>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62C1"/>
    <w:rsid w:val="00BC01FE"/>
    <w:rsid w:val="00BC1530"/>
    <w:rsid w:val="00BC1EAA"/>
    <w:rsid w:val="00BC4293"/>
    <w:rsid w:val="00BC4A0C"/>
    <w:rsid w:val="00BC5B1A"/>
    <w:rsid w:val="00BC5D5A"/>
    <w:rsid w:val="00BD1EF3"/>
    <w:rsid w:val="00BD27F3"/>
    <w:rsid w:val="00BD36DA"/>
    <w:rsid w:val="00BD4DF5"/>
    <w:rsid w:val="00BD5A8E"/>
    <w:rsid w:val="00BD7640"/>
    <w:rsid w:val="00BD7A22"/>
    <w:rsid w:val="00BE04D4"/>
    <w:rsid w:val="00BE3378"/>
    <w:rsid w:val="00BE4F87"/>
    <w:rsid w:val="00BE71B7"/>
    <w:rsid w:val="00BE7C22"/>
    <w:rsid w:val="00BF0F65"/>
    <w:rsid w:val="00BF2BC6"/>
    <w:rsid w:val="00BF3D78"/>
    <w:rsid w:val="00C00294"/>
    <w:rsid w:val="00C03B4D"/>
    <w:rsid w:val="00C04EA4"/>
    <w:rsid w:val="00C10BDE"/>
    <w:rsid w:val="00C14406"/>
    <w:rsid w:val="00C24AAA"/>
    <w:rsid w:val="00C25ECC"/>
    <w:rsid w:val="00C267FF"/>
    <w:rsid w:val="00C27DF5"/>
    <w:rsid w:val="00C30629"/>
    <w:rsid w:val="00C3353D"/>
    <w:rsid w:val="00C356F4"/>
    <w:rsid w:val="00C3625E"/>
    <w:rsid w:val="00C362AB"/>
    <w:rsid w:val="00C37C05"/>
    <w:rsid w:val="00C40DA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3DE0"/>
    <w:rsid w:val="00CA1D58"/>
    <w:rsid w:val="00CA4E54"/>
    <w:rsid w:val="00CA6468"/>
    <w:rsid w:val="00CA785A"/>
    <w:rsid w:val="00CC0B59"/>
    <w:rsid w:val="00CC6DF7"/>
    <w:rsid w:val="00CD011F"/>
    <w:rsid w:val="00CD0C3C"/>
    <w:rsid w:val="00CD1A59"/>
    <w:rsid w:val="00CD6108"/>
    <w:rsid w:val="00CD64B3"/>
    <w:rsid w:val="00CD7305"/>
    <w:rsid w:val="00CE32C3"/>
    <w:rsid w:val="00CE36EB"/>
    <w:rsid w:val="00CE5778"/>
    <w:rsid w:val="00CF0BF1"/>
    <w:rsid w:val="00CF4A2E"/>
    <w:rsid w:val="00CF651F"/>
    <w:rsid w:val="00CF6905"/>
    <w:rsid w:val="00D0418E"/>
    <w:rsid w:val="00D05CAD"/>
    <w:rsid w:val="00D061C5"/>
    <w:rsid w:val="00D06530"/>
    <w:rsid w:val="00D07847"/>
    <w:rsid w:val="00D11F72"/>
    <w:rsid w:val="00D13B30"/>
    <w:rsid w:val="00D14F38"/>
    <w:rsid w:val="00D26BBE"/>
    <w:rsid w:val="00D27046"/>
    <w:rsid w:val="00D27C68"/>
    <w:rsid w:val="00D320A2"/>
    <w:rsid w:val="00D34DF2"/>
    <w:rsid w:val="00D416B4"/>
    <w:rsid w:val="00D4332E"/>
    <w:rsid w:val="00D437B5"/>
    <w:rsid w:val="00D4562D"/>
    <w:rsid w:val="00D50538"/>
    <w:rsid w:val="00D52C88"/>
    <w:rsid w:val="00D62411"/>
    <w:rsid w:val="00D643C0"/>
    <w:rsid w:val="00D650EB"/>
    <w:rsid w:val="00D6546F"/>
    <w:rsid w:val="00D675BC"/>
    <w:rsid w:val="00D70504"/>
    <w:rsid w:val="00D7064E"/>
    <w:rsid w:val="00D7086E"/>
    <w:rsid w:val="00D74914"/>
    <w:rsid w:val="00D764E9"/>
    <w:rsid w:val="00D80BC1"/>
    <w:rsid w:val="00D824B7"/>
    <w:rsid w:val="00D840E8"/>
    <w:rsid w:val="00D84CD2"/>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B9"/>
    <w:rsid w:val="00DC6EAB"/>
    <w:rsid w:val="00DC7134"/>
    <w:rsid w:val="00DD4550"/>
    <w:rsid w:val="00DD69FD"/>
    <w:rsid w:val="00DE2926"/>
    <w:rsid w:val="00DE3867"/>
    <w:rsid w:val="00DE74EA"/>
    <w:rsid w:val="00DF1D01"/>
    <w:rsid w:val="00DF33DD"/>
    <w:rsid w:val="00DF54DD"/>
    <w:rsid w:val="00DF6030"/>
    <w:rsid w:val="00DF6E70"/>
    <w:rsid w:val="00E01FF8"/>
    <w:rsid w:val="00E032B0"/>
    <w:rsid w:val="00E06688"/>
    <w:rsid w:val="00E07788"/>
    <w:rsid w:val="00E12985"/>
    <w:rsid w:val="00E1573D"/>
    <w:rsid w:val="00E1751D"/>
    <w:rsid w:val="00E22CBF"/>
    <w:rsid w:val="00E238D0"/>
    <w:rsid w:val="00E27122"/>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82E55"/>
    <w:rsid w:val="00E8739F"/>
    <w:rsid w:val="00E905B7"/>
    <w:rsid w:val="00E95265"/>
    <w:rsid w:val="00EA0189"/>
    <w:rsid w:val="00EA510D"/>
    <w:rsid w:val="00EB3B02"/>
    <w:rsid w:val="00EB3B21"/>
    <w:rsid w:val="00EB3FA8"/>
    <w:rsid w:val="00EC538C"/>
    <w:rsid w:val="00ED13E3"/>
    <w:rsid w:val="00ED2945"/>
    <w:rsid w:val="00ED45E2"/>
    <w:rsid w:val="00ED6662"/>
    <w:rsid w:val="00ED7FAA"/>
    <w:rsid w:val="00EE0670"/>
    <w:rsid w:val="00EF0716"/>
    <w:rsid w:val="00EF1923"/>
    <w:rsid w:val="00EF63F6"/>
    <w:rsid w:val="00EF6EBD"/>
    <w:rsid w:val="00EF74F2"/>
    <w:rsid w:val="00F007E2"/>
    <w:rsid w:val="00F04885"/>
    <w:rsid w:val="00F04F6C"/>
    <w:rsid w:val="00F07053"/>
    <w:rsid w:val="00F11D3C"/>
    <w:rsid w:val="00F12588"/>
    <w:rsid w:val="00F13199"/>
    <w:rsid w:val="00F1383F"/>
    <w:rsid w:val="00F15D3A"/>
    <w:rsid w:val="00F16BBE"/>
    <w:rsid w:val="00F2026C"/>
    <w:rsid w:val="00F21DE7"/>
    <w:rsid w:val="00F22190"/>
    <w:rsid w:val="00F2284D"/>
    <w:rsid w:val="00F2381C"/>
    <w:rsid w:val="00F253D2"/>
    <w:rsid w:val="00F25BF4"/>
    <w:rsid w:val="00F2661C"/>
    <w:rsid w:val="00F340E0"/>
    <w:rsid w:val="00F438B8"/>
    <w:rsid w:val="00F456D9"/>
    <w:rsid w:val="00F50563"/>
    <w:rsid w:val="00F50886"/>
    <w:rsid w:val="00F50A9F"/>
    <w:rsid w:val="00F521B6"/>
    <w:rsid w:val="00F52F34"/>
    <w:rsid w:val="00F53E0E"/>
    <w:rsid w:val="00F5436E"/>
    <w:rsid w:val="00F63DA3"/>
    <w:rsid w:val="00F65A25"/>
    <w:rsid w:val="00F67A42"/>
    <w:rsid w:val="00F7755C"/>
    <w:rsid w:val="00F77789"/>
    <w:rsid w:val="00F803D5"/>
    <w:rsid w:val="00F834DF"/>
    <w:rsid w:val="00F83A85"/>
    <w:rsid w:val="00F85357"/>
    <w:rsid w:val="00F860DD"/>
    <w:rsid w:val="00F92D4C"/>
    <w:rsid w:val="00F9780C"/>
    <w:rsid w:val="00FA0573"/>
    <w:rsid w:val="00FA2AD6"/>
    <w:rsid w:val="00FA6806"/>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2021-05-12T05:55:00Z</dcterms:created>
  <dcterms:modified xsi:type="dcterms:W3CDTF">2021-05-12T05:55:00Z</dcterms:modified>
</cp:coreProperties>
</file>